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Style w:val="9"/>
          <w:rFonts w:ascii="宋体" w:hAnsi="宋体" w:eastAsia="宋体"/>
          <w:b w:val="0"/>
          <w:sz w:val="28"/>
          <w:szCs w:val="28"/>
        </w:rPr>
      </w:pPr>
      <w:r>
        <w:rPr>
          <w:rStyle w:val="9"/>
          <w:rFonts w:hint="eastAsia" w:asciiTheme="minorEastAsia" w:hAnsiTheme="minorEastAsia" w:eastAsiaTheme="minorEastAsia" w:cstheme="minorEastAsia"/>
          <w:b w:val="0"/>
          <w:sz w:val="32"/>
          <w:szCs w:val="32"/>
        </w:rPr>
        <w:t xml:space="preserve">附件1：   </w:t>
      </w:r>
      <w:r>
        <w:rPr>
          <w:rStyle w:val="9"/>
          <w:rFonts w:hint="eastAsia" w:ascii="宋体" w:hAnsi="宋体" w:eastAsia="宋体"/>
          <w:b w:val="0"/>
          <w:sz w:val="28"/>
          <w:szCs w:val="28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eastAsia" w:asciiTheme="minorEastAsia" w:hAnsiTheme="minorEastAsia" w:eastAsiaTheme="minorEastAsia" w:cstheme="minorEastAsia"/>
          <w:b/>
          <w:sz w:val="30"/>
          <w:szCs w:val="30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数据管理中心实施设备</w:t>
      </w:r>
      <w:r>
        <w:rPr>
          <w:rFonts w:hint="eastAsia" w:asciiTheme="minorEastAsia" w:hAnsiTheme="minorEastAsia" w:cstheme="minorEastAsia"/>
          <w:b/>
          <w:bCs/>
          <w:sz w:val="30"/>
          <w:szCs w:val="30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户外LED系统</w:t>
      </w:r>
      <w:r>
        <w:rPr>
          <w:rFonts w:hint="eastAsia" w:asciiTheme="minorEastAsia" w:hAnsiTheme="minorEastAsia" w:eastAsiaTheme="minorEastAsia" w:cstheme="minorEastAsia"/>
          <w:b/>
          <w:sz w:val="30"/>
          <w:szCs w:val="30"/>
        </w:rPr>
        <w:t>项目报价表</w:t>
      </w:r>
    </w:p>
    <w:p>
      <w:pPr>
        <w:jc w:val="center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（有效报价时间：自发出之日起至202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年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月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25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日16时止）</w:t>
      </w:r>
    </w:p>
    <w:tbl>
      <w:tblPr>
        <w:tblStyle w:val="12"/>
        <w:tblW w:w="99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4"/>
        <w:gridCol w:w="1595"/>
        <w:gridCol w:w="1145"/>
        <w:gridCol w:w="1155"/>
        <w:gridCol w:w="2445"/>
        <w:gridCol w:w="1380"/>
        <w:gridCol w:w="14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8" w:hRule="exact"/>
        </w:trPr>
        <w:tc>
          <w:tcPr>
            <w:tcW w:w="76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59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品名</w:t>
            </w:r>
          </w:p>
        </w:tc>
        <w:tc>
          <w:tcPr>
            <w:tcW w:w="1145" w:type="dxa"/>
            <w:vAlign w:val="center"/>
          </w:tcPr>
          <w:p>
            <w:pPr>
              <w:spacing w:beforeLines="0" w:afterLine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数量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244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技术参数</w:t>
            </w:r>
          </w:p>
        </w:tc>
        <w:tc>
          <w:tcPr>
            <w:tcW w:w="13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含税单价（元）</w:t>
            </w:r>
          </w:p>
        </w:tc>
        <w:tc>
          <w:tcPr>
            <w:tcW w:w="149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含税总价（元）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7" w:hRule="exact"/>
        </w:trPr>
        <w:tc>
          <w:tcPr>
            <w:tcW w:w="76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595" w:type="dxa"/>
            <w:vAlign w:val="center"/>
          </w:tcPr>
          <w:p>
            <w:pPr>
              <w:widowControl/>
              <w:spacing w:beforeLines="0" w:afterLine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数据管理中心实施设备及户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LED系统</w:t>
            </w:r>
          </w:p>
        </w:tc>
        <w:tc>
          <w:tcPr>
            <w:tcW w:w="1145" w:type="dxa"/>
            <w:vAlign w:val="center"/>
          </w:tcPr>
          <w:p>
            <w:pPr>
              <w:widowControl/>
              <w:spacing w:beforeLines="0" w:afterLine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155" w:type="dxa"/>
            <w:vAlign w:val="center"/>
          </w:tcPr>
          <w:p>
            <w:pPr>
              <w:widowControl/>
              <w:spacing w:beforeLines="0" w:afterLine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2445" w:type="dxa"/>
            <w:vAlign w:val="center"/>
          </w:tcPr>
          <w:p>
            <w:pPr>
              <w:widowControl/>
              <w:spacing w:beforeLines="0" w:afterLines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见附件2</w:t>
            </w:r>
          </w:p>
        </w:tc>
        <w:tc>
          <w:tcPr>
            <w:tcW w:w="1380" w:type="dxa"/>
          </w:tcPr>
          <w:p>
            <w:pPr>
              <w:widowControl/>
              <w:spacing w:beforeLines="0" w:afterLine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  <w:tc>
          <w:tcPr>
            <w:tcW w:w="1496" w:type="dxa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exact"/>
        </w:trPr>
        <w:tc>
          <w:tcPr>
            <w:tcW w:w="2359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合计（元）</w:t>
            </w:r>
          </w:p>
        </w:tc>
        <w:tc>
          <w:tcPr>
            <w:tcW w:w="7621" w:type="dxa"/>
            <w:gridSpan w:val="5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 小写：              大写：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exact"/>
        </w:trPr>
        <w:tc>
          <w:tcPr>
            <w:tcW w:w="235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附加条件</w:t>
            </w:r>
          </w:p>
        </w:tc>
        <w:tc>
          <w:tcPr>
            <w:tcW w:w="7621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（如有请明确表述）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exact"/>
        </w:trPr>
        <w:tc>
          <w:tcPr>
            <w:tcW w:w="235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交货日期</w:t>
            </w:r>
          </w:p>
        </w:tc>
        <w:tc>
          <w:tcPr>
            <w:tcW w:w="7621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自签订合同之日起XX天内交货完毕、安装调试结束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并投入使用。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exact"/>
        </w:trPr>
        <w:tc>
          <w:tcPr>
            <w:tcW w:w="235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报价商家名称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（盖章）</w:t>
            </w:r>
          </w:p>
        </w:tc>
        <w:tc>
          <w:tcPr>
            <w:tcW w:w="7621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（盖章方为有效，否则报价无效。）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9" w:hRule="exact"/>
        </w:trPr>
        <w:tc>
          <w:tcPr>
            <w:tcW w:w="235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联系人及电话</w:t>
            </w:r>
          </w:p>
        </w:tc>
        <w:tc>
          <w:tcPr>
            <w:tcW w:w="7621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exact"/>
        </w:trPr>
        <w:tc>
          <w:tcPr>
            <w:tcW w:w="235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报价时间</w:t>
            </w:r>
          </w:p>
        </w:tc>
        <w:tc>
          <w:tcPr>
            <w:tcW w:w="7621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年     月     日</w:t>
            </w:r>
          </w:p>
        </w:tc>
      </w:tr>
    </w:tbl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left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附件2：</w:t>
      </w:r>
    </w:p>
    <w:p>
      <w:pPr>
        <w:jc w:val="left"/>
        <w:rPr>
          <w:rFonts w:hint="default" w:ascii="楷体" w:hAnsi="楷体" w:eastAsia="楷体" w:cs="仿宋_GB2312"/>
          <w:sz w:val="24"/>
          <w:szCs w:val="24"/>
          <w:lang w:val="en-US" w:eastAsia="zh-CN"/>
        </w:rPr>
      </w:pPr>
    </w:p>
    <w:p>
      <w:pPr>
        <w:jc w:val="center"/>
        <w:rPr>
          <w:rFonts w:ascii="Times New Roman" w:hAnsi="Times New Roman" w:eastAsia="宋体" w:cs="Times New Roman"/>
          <w:b/>
          <w:sz w:val="24"/>
          <w:szCs w:val="24"/>
        </w:rPr>
      </w:pPr>
      <w:r>
        <w:rPr>
          <w:rFonts w:hint="eastAsia" w:ascii="Times New Roman" w:hAnsi="Times New Roman" w:eastAsia="宋体" w:cs="Times New Roman"/>
          <w:b/>
          <w:sz w:val="24"/>
          <w:szCs w:val="24"/>
        </w:rPr>
        <w:t>数据管理中心设施设备</w:t>
      </w:r>
      <w:r>
        <w:rPr>
          <w:rFonts w:hint="eastAsia" w:ascii="Times New Roman" w:hAnsi="Times New Roman" w:eastAsia="宋体" w:cs="Times New Roman"/>
          <w:b/>
          <w:sz w:val="24"/>
          <w:szCs w:val="24"/>
          <w:lang w:eastAsia="zh-CN"/>
        </w:rPr>
        <w:t>、</w:t>
      </w:r>
      <w:bookmarkStart w:id="0" w:name="_GoBack"/>
      <w:bookmarkEnd w:id="0"/>
      <w:r>
        <w:rPr>
          <w:rFonts w:hint="eastAsia" w:ascii="Times New Roman" w:hAnsi="Times New Roman" w:eastAsia="宋体" w:cs="Times New Roman"/>
          <w:b/>
          <w:sz w:val="24"/>
          <w:szCs w:val="24"/>
        </w:rPr>
        <w:t>户外LED系统</w:t>
      </w:r>
    </w:p>
    <w:p>
      <w:pPr>
        <w:rPr>
          <w:rFonts w:ascii="Times New Roman" w:hAnsi="Times New Roman" w:eastAsia="宋体" w:cs="Times New Roman"/>
          <w:szCs w:val="24"/>
        </w:rPr>
      </w:pPr>
    </w:p>
    <w:tbl>
      <w:tblPr>
        <w:tblStyle w:val="13"/>
        <w:tblW w:w="996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9"/>
        <w:gridCol w:w="708"/>
        <w:gridCol w:w="1092"/>
        <w:gridCol w:w="4632"/>
        <w:gridCol w:w="612"/>
        <w:gridCol w:w="444"/>
        <w:gridCol w:w="600"/>
        <w:gridCol w:w="803"/>
        <w:gridCol w:w="6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序号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设备名称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tabs>
                <w:tab w:val="left" w:pos="765"/>
              </w:tabs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参 数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数量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单位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单价</w:t>
            </w: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金额</w:t>
            </w: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62" w:type="dxa"/>
            <w:gridSpan w:val="9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数据中心设施设备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PC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1、主板:Intel B365主板及以上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2、CPU:Intel第九代酷睿 i7-9700处理器主频≥4.7GHz，缓存≥12M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4、内存≥8G DDR4 2400内存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5、显卡:GT730 2G 显卡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6、硬盘≥256G固态硬盘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7、网卡:集成千兆网卡： RTL8111HN以太网卡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8、音频设备:集成Realtek ALC623  5.1声道声卡，前置至少2个音频接口，后置3个音频接口；　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9、扩展槽≥1个PCI-E*16，≥2个PCI-E*1，≥1个PCI*1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10、显示屏:大于或等于21.5寸LED背光显示屏，分辨率1920*1080，与主机统一品牌；</w:t>
            </w:r>
          </w:p>
        </w:tc>
        <w:tc>
          <w:tcPr>
            <w:tcW w:w="612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套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</w:t>
            </w:r>
          </w:p>
        </w:tc>
        <w:tc>
          <w:tcPr>
            <w:tcW w:w="708" w:type="dxa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数据操作台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  <w:tc>
          <w:tcPr>
            <w:tcW w:w="5724" w:type="dxa"/>
            <w:gridSpan w:val="2"/>
            <w:vAlign w:val="center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1.规格: 3*1.4*1.1米，带屏风。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.基材为三聚氰胺板，优质胡桃木皮贴面，所有板材均经过防虫防潮处理，游离甲醛释放小于5mg/100g，符合国家环保E1级标准，木材干燥≤9%的含水率，优质锁具，三节销声滑轨，五金配件，环保聚酯漆，硬度达到3H级以上，保证光亮平整，耐磨耐压耐高温，可长期保持表面效果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3.配1位防静电座。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4.防潮、防火、防静电。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套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控制工作台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 w:val="0"/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1.规格：4000mm*1400mm*750mm（±5mm）</w:t>
            </w:r>
          </w:p>
          <w:p>
            <w:pPr>
              <w:widowControl w:val="0"/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2.基材为三聚氰胺板，</w:t>
            </w:r>
            <w:r>
              <w:rPr>
                <w:rFonts w:hint="eastAsia" w:asciiTheme="minorEastAsia" w:hAnsiTheme="minorEastAsia" w:eastAsiaTheme="minorEastAsia" w:cstheme="minorEastAsia"/>
                <w:color w:val="333333"/>
                <w:kern w:val="2"/>
                <w:sz w:val="18"/>
                <w:szCs w:val="18"/>
                <w:lang w:val="en-US" w:eastAsia="zh-CN" w:bidi="ar-SA"/>
              </w:rPr>
              <w:t>桌面厚度80mm-90mm.经过防潮防虫、防腐处理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优质胡桃木皮贴面，</w:t>
            </w:r>
            <w:r>
              <w:rPr>
                <w:rFonts w:hint="eastAsia" w:asciiTheme="minorEastAsia" w:hAnsiTheme="minorEastAsia" w:eastAsiaTheme="minorEastAsia" w:cstheme="minorEastAsia"/>
                <w:color w:val="333333"/>
                <w:kern w:val="2"/>
                <w:sz w:val="18"/>
                <w:szCs w:val="18"/>
                <w:lang w:val="en-US" w:eastAsia="zh-CN" w:bidi="ar-SA"/>
              </w:rPr>
              <w:t>四周优质胡桃木皮封边，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所有板材均经过防虫防潮处理，游离甲醛释放小于5mg/100g，符合国家环保E1级标准，木材干燥≤9/的含水率，环保聚酯漆，硬度达到3H级以上，保证光亮平整，耐磨耐压耐高温，可长期保持表面效果。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3.配12位防静电座。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4.防潮、防火、防静电。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套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存储箱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1.规格: 1800mm*400mm*900mm（±5mm）</w:t>
            </w: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2.采用优质冷轧0.8mm厚钢板模压成型，表面经除油、去锈、酸洗、磷化等十道工序前处理，亚光静电喷粉，高温塑化而成，具有良好的防尘、防震、防鼠、防潮和防火功能，结构坚固，经久耐用。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个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widowControl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数据处理终端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  <w:tc>
          <w:tcPr>
            <w:tcW w:w="5724" w:type="dxa"/>
            <w:gridSpan w:val="2"/>
            <w:vAlign w:val="center"/>
          </w:tcPr>
          <w:p>
            <w:pPr>
              <w:widowControl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1、配置≥24口100/1000M自适应电口，≥4个千兆非复用SFP光口；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2、交换容量≥3.3Tbps，包转发率≥125Mpps；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3、支持802.1x和WEB认证功能，且交换机端口可同时开启两种认证，不会相互冲突制约，提供国家认可的权威机构出具的检测报告复印件；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4、支持SAVI的防止地址解析欺骗策略，提供国家认可的权威机构出具的检测报告复印件；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5、支持软件定义网络SDN，支持OpenFlow 1.3协议标准；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6、支持静态路由、RIP、OSPF；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7、支持限制非法报文对CPU的攻击，保护交换机稳定工作；能禁止非法ARP欺骗，防止合法用户的数据被窃取；支持ARP网关欺骗防御功能，能够防止非法用户针对网关的欺骗；支持DHCP抗攻击、ICMP抗攻击、防IP扫描攻击、DoS Protection抗攻击等防御功能；支持防源IP地址欺骗功能（提供国家认可的权威机构出具的检测报告复印件）；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8、具备较高雷击防护能力，支持防浪涌≥10KV，提供国家认可的权威机构出具的检测报告复印件；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9、支持虚拟化功能，可将多台物理设备虚拟化为一台逻辑设备统一管理。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台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复印机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网络打印、复印、全彩色扫描；分辨率≥600dpi*600dpi；内存≥256MB；原稿尺寸：A3；输出尺寸：A3-A5；预热时间：15秒或以内；首张复印：7秒或以内；复印速度≥20张/分；连续复印：1-999张；纸张容量:350页，最大可达：1350页；纸张克重：64-157g/㎡；扫描速度黑白/彩色≥55PPm；含双面器；双面自动输稿器；中文5行面板；使用SimitriHD高清晰聚合碳粉，碳粉循环使用、无废粉。为保证产品质量需提供：生产厂商售后服务承诺书、正规渠道货源证明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台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7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投影仪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 xml:space="preserve">1、LCD液晶板：0.63英寸*3  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2、采用BrightEra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vertAlign w:val="superscript"/>
              </w:rPr>
              <w:t>TM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无机配向膜液晶面板技术</w:t>
            </w:r>
          </w:p>
          <w:p>
            <w:pPr>
              <w:tabs>
                <w:tab w:val="right" w:pos="8306"/>
              </w:tabs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3、光通量/色彩亮度：≥4200流明（符合ISO21118标准）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ab/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4、单LCD液晶面板分辨率：≥1024*768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5、投影机镜头变焦倍数：≥1.6倍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6、对比度：≥12000：1</w:t>
            </w:r>
          </w:p>
          <w:p>
            <w:pPr>
              <w:widowControl/>
              <w:spacing w:line="300" w:lineRule="exact"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7、灯泡寿命：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≥10000 小时 (节能模式)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8、具有RJ45网络接口、HDMI接口不少于1个，USB接口不少于2个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9、具有背部换灯功能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10、具有垂直梯形校正功能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11、具有自动亮度调节功能；2000小时亮度恒定功能；APA自动像素调整功能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12、具有灯泡变暗功能，有效节能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13、投影机及遥控器兼具备一键式ECO按钮，轻松节能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14、采用静电过滤网，有效防尘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15、具有中文显示信号源命名功能，直观了解所连设备名称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16、USB播放功能，通过USB闪存设备直接读取图像格式文件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17、具有网络发表功能,最多支持4用户同时投射图像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18、支持访客版网络发表功能</w:t>
            </w:r>
          </w:p>
          <w:p>
            <w:pPr>
              <w:spacing w:line="300" w:lineRule="exact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19、可通过智能手机、平板电脑远程控制投影机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台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8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幕布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100寸16:9电动遥控投影幕布 白塑幕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副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9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4联操作台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 w:val="0"/>
              <w:adjustRightInd w:val="0"/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1、规格：约2400*800*780mm（台面长度*台面宽度*高度）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2、采用SPCC优质冷轧钢板材质，表面静电喷塑。台面为全钢材质或防火板台面，柜体深度为600mm ，高度450mm,内置层板，电脑主机可平放也可竖放，前后门可开启并配锁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3、配4位防静电座。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套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10</w:t>
            </w:r>
          </w:p>
        </w:tc>
        <w:tc>
          <w:tcPr>
            <w:tcW w:w="708" w:type="dxa"/>
            <w:vAlign w:val="center"/>
          </w:tcPr>
          <w:p>
            <w:pPr>
              <w:widowControl w:val="0"/>
              <w:spacing w:line="320" w:lineRule="exact"/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大3P分体落地式空调器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1、冷暖类型：冷暖型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2、能效等级：二级能效及以上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3、制冷量：≥7200W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4、制冷功率（标准工况）：≤2100W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5、制热量：≥9500W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6、制热功率（标准工况）：≤2900W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7、电辅加热输入功率：≥2000W</w:t>
            </w:r>
          </w:p>
          <w:p>
            <w:pPr>
              <w:widowControl w:val="0"/>
              <w:spacing w:line="320" w:lineRule="exact"/>
              <w:jc w:val="both"/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8、循环风量：≥1200m³/h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台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62" w:type="dxa"/>
            <w:gridSpan w:val="9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户外LED系统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11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电教楼：户外显示屏</w:t>
            </w:r>
          </w:p>
        </w:tc>
        <w:tc>
          <w:tcPr>
            <w:tcW w:w="5724" w:type="dxa"/>
            <w:gridSpan w:val="2"/>
          </w:tcPr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1、类型：户外单红P10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2、LED封装：国产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3、像素间距：10mm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4、像素密度：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10000Dots/㎡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5、模组分辨率：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32x16=512 Dots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6、模组尺寸（mm）：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320*160*24.5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7、亮度：3000-3500cd/㎡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8、刷新频率：≧80HZ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9、尺寸：6*2.66M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16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㎡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12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显示屏电源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1、直流电压：4.5V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2、额定电流：40A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3、电流范围：0-40A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4、额定功率：180W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5、电压调节范围：±5%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6、电压精度：±1.0%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38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台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13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显示屏支架</w:t>
            </w:r>
          </w:p>
        </w:tc>
        <w:tc>
          <w:tcPr>
            <w:tcW w:w="5724" w:type="dxa"/>
            <w:gridSpan w:val="2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1、尺寸：6*2.66M定制支架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16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㎡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14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接收卡</w:t>
            </w:r>
          </w:p>
        </w:tc>
        <w:tc>
          <w:tcPr>
            <w:tcW w:w="5724" w:type="dxa"/>
            <w:gridSpan w:val="2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1、处理器:DSP处理器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2、存储容量:16M字节（可扩展）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3、显示:两排50P排线扩展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4、网络:支持100M网络，支持无IP通讯，多节目播放:最多可同时划分32个区域、任意大小、位置、不分主次；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任意分区或多区可添加单独背景显示；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最多添加9999个节目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5、亮度调节:支持15级手动或自动亮度调节,支持亮度回读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6、适用范围:支持单/双色、室内/外,支持自动扫描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7、通讯波特率:可支持9600~115200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张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15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办公楼户外显示屏</w:t>
            </w:r>
          </w:p>
        </w:tc>
        <w:tc>
          <w:tcPr>
            <w:tcW w:w="5724" w:type="dxa"/>
            <w:gridSpan w:val="2"/>
          </w:tcPr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1、类型：户外P10-4S全彩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2、LED封装：国产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3、像素间距：10mm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4、像素密度：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10000Dots/㎡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5、模组分辨率：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32x16=512 Dots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6、模组尺寸（mm）：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320*160*20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7、亮度：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≥4000cd/㎡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8、刷新频率：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&gt;60帧/秒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9、尺寸：4.26-2.18M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9.3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㎡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16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显示屏电源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1、直流电压：4.5V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2、额定电流：40A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3、电流范围：0-40A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4、额定功率：180W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5、电压调节范围：±5%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18"/>
                <w:szCs w:val="18"/>
                <w:lang w:val="en-US" w:eastAsia="zh-CN" w:bidi="ar-SA"/>
              </w:rPr>
              <w:t>6、电压精度：±1.0%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台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  <w:t>显示屏支架</w:t>
            </w:r>
          </w:p>
        </w:tc>
        <w:tc>
          <w:tcPr>
            <w:tcW w:w="5724" w:type="dxa"/>
            <w:gridSpan w:val="2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18"/>
                <w:szCs w:val="18"/>
                <w:lang w:val="en-US" w:eastAsia="zh-CN" w:bidi="ar-SA"/>
              </w:rPr>
              <w:t>1、尺寸：4.26-2.18M定制支架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9.3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㎡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18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异步全彩LED播放机</w:t>
            </w:r>
          </w:p>
        </w:tc>
        <w:tc>
          <w:tcPr>
            <w:tcW w:w="5724" w:type="dxa"/>
            <w:gridSpan w:val="2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1、控制范围:1280*800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2、扫描方式:任意扫描方式，智能扫描设置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3、刷新率:扫描刷新率可从60Hz～4000Hz，图像刷新率最低60Hz，绝不抽帧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4、节目制作:支持多节目，多区域显示，多媒体区域与文本区域重叠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套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19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36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全彩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接收卡</w:t>
            </w:r>
          </w:p>
        </w:tc>
        <w:tc>
          <w:tcPr>
            <w:tcW w:w="5724" w:type="dxa"/>
            <w:gridSpan w:val="2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1、输出接口:标准50P接口，支持扩展任意转接板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2、发送设备:EQ同步发送卡/发送盒、千兆网卡、EQ LED播放机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3、扫描方式:静态到1/32扫描的任意扫描，智能识别扫描方式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4、通信距离:超五类网线≤140M，六类网线≤170M，光纤线无限制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张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20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辅材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网线、电源线、插板、管材等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批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21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安装调试</w:t>
            </w:r>
          </w:p>
        </w:tc>
        <w:tc>
          <w:tcPr>
            <w:tcW w:w="5724" w:type="dxa"/>
            <w:gridSpan w:val="2"/>
            <w:vAlign w:val="center"/>
          </w:tcPr>
          <w:p>
            <w:pPr>
              <w:widowControl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安装、调试、售后等</w:t>
            </w:r>
          </w:p>
        </w:tc>
        <w:tc>
          <w:tcPr>
            <w:tcW w:w="61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批</w:t>
            </w:r>
          </w:p>
        </w:tc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39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22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合</w:t>
            </w: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计</w:t>
            </w:r>
          </w:p>
        </w:tc>
        <w:tc>
          <w:tcPr>
            <w:tcW w:w="7723" w:type="dxa"/>
            <w:gridSpan w:val="6"/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18"/>
                <w:szCs w:val="18"/>
                <w:lang w:eastAsia="zh-CN"/>
              </w:rPr>
              <w:t>小写：</w:t>
            </w: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 xml:space="preserve">                    元；      大写：                                  元</w:t>
            </w:r>
          </w:p>
        </w:tc>
      </w:tr>
    </w:tbl>
    <w:p>
      <w:pPr>
        <w:rPr>
          <w:rFonts w:ascii="Times New Roman" w:hAnsi="Times New Roman" w:eastAsia="宋体" w:cs="Times New Roman"/>
          <w:szCs w:val="24"/>
        </w:rPr>
      </w:pPr>
    </w:p>
    <w:p>
      <w:pPr>
        <w:jc w:val="center"/>
        <w:rPr>
          <w:rFonts w:hint="eastAsia" w:ascii="楷体" w:hAnsi="楷体" w:eastAsia="楷体" w:cs="仿宋_GB2312"/>
          <w:sz w:val="24"/>
          <w:szCs w:val="24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17A2A"/>
    <w:rsid w:val="00030B49"/>
    <w:rsid w:val="000453DB"/>
    <w:rsid w:val="00056BCB"/>
    <w:rsid w:val="000575DA"/>
    <w:rsid w:val="00080A1F"/>
    <w:rsid w:val="000B58CC"/>
    <w:rsid w:val="000C0EF6"/>
    <w:rsid w:val="000E1FF4"/>
    <w:rsid w:val="000F5A98"/>
    <w:rsid w:val="00105910"/>
    <w:rsid w:val="00125A09"/>
    <w:rsid w:val="00144DED"/>
    <w:rsid w:val="001603D4"/>
    <w:rsid w:val="00180608"/>
    <w:rsid w:val="001A6BFF"/>
    <w:rsid w:val="001B3C37"/>
    <w:rsid w:val="001D30ED"/>
    <w:rsid w:val="001E0164"/>
    <w:rsid w:val="001E41A5"/>
    <w:rsid w:val="00222990"/>
    <w:rsid w:val="00224510"/>
    <w:rsid w:val="003311B6"/>
    <w:rsid w:val="00332553"/>
    <w:rsid w:val="00373767"/>
    <w:rsid w:val="00373DF8"/>
    <w:rsid w:val="00384FAF"/>
    <w:rsid w:val="0038717C"/>
    <w:rsid w:val="003A11ED"/>
    <w:rsid w:val="003A2273"/>
    <w:rsid w:val="003B2BAF"/>
    <w:rsid w:val="003C7434"/>
    <w:rsid w:val="003F6309"/>
    <w:rsid w:val="00402610"/>
    <w:rsid w:val="0043404B"/>
    <w:rsid w:val="004671B9"/>
    <w:rsid w:val="00473422"/>
    <w:rsid w:val="00482E27"/>
    <w:rsid w:val="004924AA"/>
    <w:rsid w:val="00494220"/>
    <w:rsid w:val="004B2FAC"/>
    <w:rsid w:val="004C7CE3"/>
    <w:rsid w:val="004F16EE"/>
    <w:rsid w:val="00542E36"/>
    <w:rsid w:val="00545E92"/>
    <w:rsid w:val="00584AB4"/>
    <w:rsid w:val="005978FF"/>
    <w:rsid w:val="005C16AF"/>
    <w:rsid w:val="005D6743"/>
    <w:rsid w:val="005E6CB9"/>
    <w:rsid w:val="006170DA"/>
    <w:rsid w:val="00642F5F"/>
    <w:rsid w:val="006A4969"/>
    <w:rsid w:val="00717024"/>
    <w:rsid w:val="00740B73"/>
    <w:rsid w:val="007625BA"/>
    <w:rsid w:val="00780DD7"/>
    <w:rsid w:val="007C175D"/>
    <w:rsid w:val="007C49F2"/>
    <w:rsid w:val="00842182"/>
    <w:rsid w:val="00880803"/>
    <w:rsid w:val="00887312"/>
    <w:rsid w:val="008932CD"/>
    <w:rsid w:val="008D6685"/>
    <w:rsid w:val="008F28F4"/>
    <w:rsid w:val="009344B4"/>
    <w:rsid w:val="00945D3B"/>
    <w:rsid w:val="009645C7"/>
    <w:rsid w:val="009A78D3"/>
    <w:rsid w:val="009D0739"/>
    <w:rsid w:val="00A450FC"/>
    <w:rsid w:val="00A54CDE"/>
    <w:rsid w:val="00A72837"/>
    <w:rsid w:val="00B075FD"/>
    <w:rsid w:val="00B261B3"/>
    <w:rsid w:val="00B423DE"/>
    <w:rsid w:val="00B60CE2"/>
    <w:rsid w:val="00B61CE9"/>
    <w:rsid w:val="00BA67DC"/>
    <w:rsid w:val="00BB2298"/>
    <w:rsid w:val="00BD516F"/>
    <w:rsid w:val="00C57B99"/>
    <w:rsid w:val="00C86180"/>
    <w:rsid w:val="00CB1135"/>
    <w:rsid w:val="00D0209A"/>
    <w:rsid w:val="00D1358D"/>
    <w:rsid w:val="00D43755"/>
    <w:rsid w:val="00D4619C"/>
    <w:rsid w:val="00D526C0"/>
    <w:rsid w:val="00D559C5"/>
    <w:rsid w:val="00D74941"/>
    <w:rsid w:val="00DB7AC0"/>
    <w:rsid w:val="00DD0B6F"/>
    <w:rsid w:val="00DE3399"/>
    <w:rsid w:val="00DE51EA"/>
    <w:rsid w:val="00DF53A1"/>
    <w:rsid w:val="00E069F2"/>
    <w:rsid w:val="00E243C5"/>
    <w:rsid w:val="00E42FDB"/>
    <w:rsid w:val="00E84103"/>
    <w:rsid w:val="00EB4DC1"/>
    <w:rsid w:val="00EB7687"/>
    <w:rsid w:val="00F23092"/>
    <w:rsid w:val="00F31A2E"/>
    <w:rsid w:val="00F64D17"/>
    <w:rsid w:val="00FD06DF"/>
    <w:rsid w:val="089E665C"/>
    <w:rsid w:val="13C83361"/>
    <w:rsid w:val="1DE06210"/>
    <w:rsid w:val="242679AE"/>
    <w:rsid w:val="26AB5FF5"/>
    <w:rsid w:val="2ED74051"/>
    <w:rsid w:val="3FE94110"/>
    <w:rsid w:val="478D1F3E"/>
    <w:rsid w:val="56D839A2"/>
    <w:rsid w:val="594630FD"/>
    <w:rsid w:val="5DD61984"/>
    <w:rsid w:val="6421528A"/>
    <w:rsid w:val="64683C19"/>
    <w:rsid w:val="735F0276"/>
    <w:rsid w:val="7958527D"/>
    <w:rsid w:val="7B3F7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0"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kern w:val="44"/>
      <w:sz w:val="32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2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FollowedHyperlink"/>
    <w:basedOn w:val="8"/>
    <w:semiHidden/>
    <w:unhideWhenUsed/>
    <w:qFormat/>
    <w:uiPriority w:val="99"/>
    <w:rPr>
      <w:color w:val="800080"/>
      <w:u w:val="single"/>
    </w:rPr>
  </w:style>
  <w:style w:type="character" w:styleId="11">
    <w:name w:val="Hyperlink"/>
    <w:basedOn w:val="8"/>
    <w:semiHidden/>
    <w:unhideWhenUsed/>
    <w:qFormat/>
    <w:uiPriority w:val="99"/>
    <w:rPr>
      <w:color w:val="0000FF"/>
      <w:u w:val="single"/>
    </w:rPr>
  </w:style>
  <w:style w:type="table" w:styleId="13">
    <w:name w:val="Table Grid"/>
    <w:basedOn w:val="12"/>
    <w:qFormat/>
    <w:uiPriority w:val="59"/>
    <w:rPr>
      <w:kern w:val="0"/>
      <w:sz w:val="20"/>
      <w:szCs w:val="20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</w:tblPr>
  </w:style>
  <w:style w:type="character" w:customStyle="1" w:styleId="14">
    <w:name w:val="页眉 Char"/>
    <w:basedOn w:val="8"/>
    <w:link w:val="6"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8"/>
    <w:link w:val="5"/>
    <w:semiHidden/>
    <w:qFormat/>
    <w:uiPriority w:val="99"/>
    <w:rPr>
      <w:sz w:val="18"/>
      <w:szCs w:val="18"/>
    </w:rPr>
  </w:style>
  <w:style w:type="character" w:customStyle="1" w:styleId="16">
    <w:name w:val="日期 Char"/>
    <w:basedOn w:val="8"/>
    <w:link w:val="3"/>
    <w:semiHidden/>
    <w:qFormat/>
    <w:uiPriority w:val="99"/>
  </w:style>
  <w:style w:type="paragraph" w:styleId="17">
    <w:name w:val="No Spacing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8">
    <w:name w:val="正文.表格"/>
    <w:basedOn w:val="1"/>
    <w:next w:val="1"/>
    <w:qFormat/>
    <w:uiPriority w:val="99"/>
    <w:pPr>
      <w:widowControl/>
      <w:jc w:val="center"/>
    </w:pPr>
    <w:rPr>
      <w:rFonts w:ascii="Calibri" w:hAnsi="Calibri" w:eastAsia="宋体" w:cs="黑体"/>
      <w:kern w:val="21"/>
      <w:szCs w:val="24"/>
    </w:rPr>
  </w:style>
  <w:style w:type="paragraph" w:customStyle="1" w:styleId="19">
    <w:name w:val="列出段落1"/>
    <w:basedOn w:val="1"/>
    <w:qFormat/>
    <w:uiPriority w:val="99"/>
    <w:pPr>
      <w:ind w:firstLine="420" w:firstLineChars="200"/>
    </w:pPr>
    <w:rPr>
      <w:rFonts w:ascii="Calibri" w:hAnsi="Calibri" w:eastAsia="宋体" w:cs="黑体"/>
    </w:rPr>
  </w:style>
  <w:style w:type="paragraph" w:customStyle="1" w:styleId="20">
    <w:name w:val="列出段落2"/>
    <w:basedOn w:val="1"/>
    <w:unhideWhenUsed/>
    <w:qFormat/>
    <w:uiPriority w:val="99"/>
    <w:pPr>
      <w:ind w:firstLine="420" w:firstLineChars="200"/>
    </w:pPr>
  </w:style>
  <w:style w:type="paragraph" w:customStyle="1" w:styleId="21">
    <w:name w:val="正文_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22">
    <w:name w:val="批注框文本 Char"/>
    <w:basedOn w:val="8"/>
    <w:link w:val="4"/>
    <w:semiHidden/>
    <w:qFormat/>
    <w:uiPriority w:val="99"/>
    <w:rPr>
      <w:sz w:val="18"/>
      <w:szCs w:val="18"/>
    </w:rPr>
  </w:style>
  <w:style w:type="character" w:customStyle="1" w:styleId="23">
    <w:name w:val="标题 1 Char"/>
    <w:basedOn w:val="8"/>
    <w:link w:val="2"/>
    <w:qFormat/>
    <w:uiPriority w:val="0"/>
    <w:rPr>
      <w:rFonts w:ascii="Times New Roman" w:hAnsi="Times New Roman" w:eastAsia="宋体" w:cs="Times New Roman"/>
      <w:b/>
      <w:kern w:val="44"/>
      <w:sz w:val="32"/>
      <w:szCs w:val="20"/>
    </w:rPr>
  </w:style>
  <w:style w:type="paragraph" w:customStyle="1" w:styleId="24">
    <w:name w:val="正文首行缩进两字符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 w:eastAsia="宋体" w:cs="Times New Roman"/>
      <w:szCs w:val="24"/>
    </w:rPr>
  </w:style>
  <w:style w:type="paragraph" w:customStyle="1" w:styleId="25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Calibri" w:hAnsi="Calibri" w:eastAsia="宋体" w:cs="宋体"/>
      <w:color w:val="000000"/>
      <w:kern w:val="0"/>
      <w:sz w:val="18"/>
      <w:szCs w:val="18"/>
    </w:rPr>
  </w:style>
  <w:style w:type="paragraph" w:customStyle="1" w:styleId="26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27">
    <w:name w:val="xl6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Cs w:val="21"/>
    </w:rPr>
  </w:style>
  <w:style w:type="paragraph" w:customStyle="1" w:styleId="28">
    <w:name w:val="xl64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Cs w:val="21"/>
    </w:rPr>
  </w:style>
  <w:style w:type="paragraph" w:customStyle="1" w:styleId="29">
    <w:name w:val="xl65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Cs w:val="21"/>
    </w:rPr>
  </w:style>
  <w:style w:type="paragraph" w:customStyle="1" w:styleId="30">
    <w:name w:val="xl66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Calibri" w:hAnsi="Calibri" w:eastAsia="宋体" w:cs="宋体"/>
      <w:kern w:val="0"/>
      <w:sz w:val="18"/>
      <w:szCs w:val="18"/>
    </w:rPr>
  </w:style>
  <w:style w:type="paragraph" w:customStyle="1" w:styleId="31">
    <w:name w:val="xl67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2">
    <w:name w:val="xl68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Calibri" w:hAnsi="Calibri" w:eastAsia="宋体" w:cs="宋体"/>
      <w:kern w:val="0"/>
      <w:sz w:val="18"/>
      <w:szCs w:val="18"/>
    </w:rPr>
  </w:style>
  <w:style w:type="paragraph" w:customStyle="1" w:styleId="33">
    <w:name w:val="xl69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34">
    <w:name w:val="xl70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18"/>
      <w:szCs w:val="18"/>
    </w:rPr>
  </w:style>
  <w:style w:type="paragraph" w:customStyle="1" w:styleId="35">
    <w:name w:val="xl71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18"/>
      <w:szCs w:val="18"/>
    </w:rPr>
  </w:style>
  <w:style w:type="paragraph" w:customStyle="1" w:styleId="36">
    <w:name w:val="xl72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Calibri" w:hAnsi="Calibri" w:eastAsia="宋体" w:cs="宋体"/>
      <w:kern w:val="0"/>
      <w:sz w:val="18"/>
      <w:szCs w:val="18"/>
    </w:rPr>
  </w:style>
  <w:style w:type="paragraph" w:customStyle="1" w:styleId="37">
    <w:name w:val="xl73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Calibri" w:hAnsi="Calibri" w:eastAsia="宋体" w:cs="宋体"/>
      <w:kern w:val="0"/>
      <w:sz w:val="18"/>
      <w:szCs w:val="18"/>
    </w:rPr>
  </w:style>
  <w:style w:type="paragraph" w:customStyle="1" w:styleId="38">
    <w:name w:val="xl74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9">
    <w:name w:val="xl75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40">
    <w:name w:val="xl76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41">
    <w:name w:val="xl77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42">
    <w:name w:val="xl78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43">
    <w:name w:val="xl79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44">
    <w:name w:val="xl80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18"/>
      <w:szCs w:val="18"/>
    </w:rPr>
  </w:style>
  <w:style w:type="paragraph" w:customStyle="1" w:styleId="45">
    <w:name w:val="xl81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18"/>
      <w:szCs w:val="18"/>
    </w:rPr>
  </w:style>
  <w:style w:type="character" w:customStyle="1" w:styleId="46">
    <w:name w:val="font101"/>
    <w:unhideWhenUsed/>
    <w:qFormat/>
    <w:uiPriority w:val="0"/>
    <w:rPr>
      <w:rFonts w:hint="eastAsia" w:ascii="仿宋_GB2312" w:hAnsi="Times New Roman" w:eastAsia="仿宋_GB2312"/>
      <w:color w:val="000000"/>
      <w:sz w:val="18"/>
    </w:rPr>
  </w:style>
  <w:style w:type="character" w:customStyle="1" w:styleId="47">
    <w:name w:val="font141"/>
    <w:unhideWhenUsed/>
    <w:qFormat/>
    <w:uiPriority w:val="0"/>
    <w:rPr>
      <w:rFonts w:hint="default" w:ascii="Times New Roman" w:hAnsi="Times New Roman" w:eastAsia="宋体"/>
      <w:color w:val="000000"/>
      <w:sz w:val="18"/>
    </w:rPr>
  </w:style>
  <w:style w:type="character" w:customStyle="1" w:styleId="48">
    <w:name w:val="form-textarea-print1"/>
    <w:basedOn w:val="8"/>
    <w:unhideWhenUsed/>
    <w:qFormat/>
    <w:uiPriority w:val="0"/>
    <w:rPr>
      <w:rFonts w:hint="eastAsia" w:ascii="宋体" w:hAnsi="宋体" w:eastAsia="宋体"/>
      <w:sz w:val="17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728</Words>
  <Characters>4154</Characters>
  <Lines>34</Lines>
  <Paragraphs>9</Paragraphs>
  <TotalTime>3</TotalTime>
  <ScaleCrop>false</ScaleCrop>
  <LinksUpToDate>false</LinksUpToDate>
  <CharactersWithSpaces>4873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2017-10-12T06:56:00Z</dcterms:created>
  <dc:creator>Ld</dc:creator>
  <cp:lastModifiedBy>陈柏杉</cp:lastModifiedBy>
  <dcterms:modified xsi:type="dcterms:W3CDTF">2021-03-22T02:07:44Z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