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b/>
          <w:sz w:val="32"/>
          <w:szCs w:val="32"/>
        </w:rPr>
      </w:pPr>
      <w:bookmarkStart w:id="0" w:name="_Toc308164959"/>
      <w:bookmarkStart w:id="1" w:name="_Toc308164779"/>
      <w:bookmarkStart w:id="2" w:name="_Toc283712536"/>
      <w:r>
        <w:rPr>
          <w:rFonts w:hint="eastAsia" w:ascii="黑体" w:hAnsi="黑体" w:eastAsia="黑体"/>
          <w:b/>
          <w:sz w:val="32"/>
          <w:szCs w:val="32"/>
        </w:rPr>
        <w:t>招标编号：达职院（公）〔2017〕006号</w:t>
      </w:r>
    </w:p>
    <w:p>
      <w:pPr>
        <w:spacing w:afterLines="100"/>
        <w:jc w:val="center"/>
        <w:rPr>
          <w:rFonts w:ascii="黑体" w:hAnsi="黑体" w:eastAsia="黑体"/>
          <w:b/>
          <w:sz w:val="56"/>
          <w:szCs w:val="56"/>
        </w:rPr>
      </w:pPr>
    </w:p>
    <w:p>
      <w:pPr>
        <w:spacing w:afterLines="100"/>
        <w:jc w:val="center"/>
        <w:rPr>
          <w:rFonts w:ascii="黑体" w:hAnsi="黑体" w:eastAsia="黑体"/>
          <w:b/>
          <w:sz w:val="56"/>
          <w:szCs w:val="56"/>
        </w:rPr>
      </w:pPr>
      <w:r>
        <w:rPr>
          <w:rFonts w:hint="eastAsia" w:ascii="黑体" w:hAnsi="黑体" w:eastAsia="黑体"/>
          <w:b/>
          <w:sz w:val="56"/>
          <w:szCs w:val="56"/>
        </w:rPr>
        <w:t>机电实训耗材</w:t>
      </w:r>
      <w:bookmarkStart w:id="213" w:name="_GoBack"/>
      <w:bookmarkEnd w:id="213"/>
      <w:r>
        <w:rPr>
          <w:rFonts w:hint="eastAsia" w:ascii="黑体" w:hAnsi="黑体" w:eastAsia="黑体"/>
          <w:b/>
          <w:sz w:val="56"/>
          <w:szCs w:val="56"/>
        </w:rPr>
        <w:t>采购及相关服务</w:t>
      </w:r>
    </w:p>
    <w:p>
      <w:pPr>
        <w:spacing w:afterLines="100"/>
        <w:jc w:val="center"/>
        <w:rPr>
          <w:rFonts w:ascii="宋体" w:hAnsi="宋体"/>
          <w:b/>
          <w:spacing w:val="-20"/>
          <w:sz w:val="56"/>
          <w:szCs w:val="56"/>
        </w:rPr>
      </w:pPr>
    </w:p>
    <w:p>
      <w:pPr>
        <w:tabs>
          <w:tab w:val="center" w:pos="4770"/>
          <w:tab w:val="left" w:pos="7485"/>
        </w:tabs>
        <w:jc w:val="left"/>
        <w:rPr>
          <w:rFonts w:ascii="黑体" w:hAnsi="黑体" w:eastAsia="黑体"/>
          <w:b/>
          <w:sz w:val="144"/>
          <w:szCs w:val="144"/>
        </w:rPr>
      </w:pPr>
      <w:r>
        <w:rPr>
          <w:rFonts w:ascii="黑体" w:hAnsi="黑体" w:eastAsia="黑体"/>
          <w:b/>
          <w:sz w:val="144"/>
          <w:szCs w:val="144"/>
        </w:rPr>
        <w:tab/>
      </w:r>
      <w:r>
        <w:rPr>
          <w:rFonts w:hint="eastAsia" w:ascii="黑体" w:hAnsi="黑体" w:eastAsia="黑体"/>
          <w:b/>
          <w:sz w:val="144"/>
          <w:szCs w:val="144"/>
        </w:rPr>
        <w:t>招</w:t>
      </w:r>
      <w:r>
        <w:rPr>
          <w:rFonts w:ascii="黑体" w:hAnsi="黑体" w:eastAsia="黑体"/>
          <w:b/>
          <w:sz w:val="144"/>
          <w:szCs w:val="144"/>
        </w:rPr>
        <w:tab/>
      </w:r>
    </w:p>
    <w:p>
      <w:pPr>
        <w:jc w:val="center"/>
        <w:rPr>
          <w:rFonts w:ascii="黑体" w:hAnsi="黑体" w:eastAsia="黑体"/>
          <w:b/>
          <w:sz w:val="144"/>
          <w:szCs w:val="144"/>
        </w:rPr>
      </w:pPr>
      <w:r>
        <w:rPr>
          <w:rFonts w:hint="eastAsia" w:ascii="黑体" w:hAnsi="黑体" w:eastAsia="黑体"/>
          <w:b/>
          <w:sz w:val="144"/>
          <w:szCs w:val="144"/>
        </w:rPr>
        <w:t>标</w:t>
      </w:r>
    </w:p>
    <w:p>
      <w:pPr>
        <w:jc w:val="center"/>
        <w:rPr>
          <w:rFonts w:ascii="黑体" w:hAnsi="黑体" w:eastAsia="黑体"/>
          <w:b/>
          <w:sz w:val="144"/>
          <w:szCs w:val="144"/>
        </w:rPr>
      </w:pPr>
      <w:r>
        <w:rPr>
          <w:rFonts w:hint="eastAsia" w:ascii="黑体" w:hAnsi="黑体" w:eastAsia="黑体"/>
          <w:b/>
          <w:sz w:val="144"/>
          <w:szCs w:val="144"/>
        </w:rPr>
        <w:t>文</w:t>
      </w:r>
    </w:p>
    <w:p>
      <w:pPr>
        <w:jc w:val="center"/>
        <w:rPr>
          <w:rFonts w:ascii="黑体" w:hAnsi="黑体" w:eastAsia="黑体"/>
          <w:b/>
          <w:sz w:val="144"/>
          <w:szCs w:val="144"/>
        </w:rPr>
      </w:pPr>
      <w:r>
        <w:rPr>
          <w:rFonts w:hint="eastAsia" w:ascii="黑体" w:hAnsi="黑体" w:eastAsia="黑体"/>
          <w:b/>
          <w:sz w:val="144"/>
          <w:szCs w:val="144"/>
        </w:rPr>
        <w:t>件</w:t>
      </w:r>
    </w:p>
    <w:p>
      <w:pPr>
        <w:spacing w:line="360" w:lineRule="auto"/>
        <w:rPr>
          <w:b/>
          <w:sz w:val="32"/>
          <w:szCs w:val="32"/>
        </w:rPr>
      </w:pPr>
    </w:p>
    <w:p>
      <w:pPr>
        <w:spacing w:line="360" w:lineRule="auto"/>
        <w:rPr>
          <w:b/>
          <w:sz w:val="32"/>
          <w:szCs w:val="32"/>
        </w:rPr>
      </w:pPr>
    </w:p>
    <w:p>
      <w:pPr>
        <w:spacing w:line="360" w:lineRule="auto"/>
        <w:rPr>
          <w:b/>
          <w:sz w:val="32"/>
          <w:szCs w:val="32"/>
        </w:rPr>
      </w:pPr>
    </w:p>
    <w:p>
      <w:pPr>
        <w:spacing w:line="600" w:lineRule="exact"/>
        <w:jc w:val="center"/>
        <w:rPr>
          <w:rFonts w:ascii="黑体" w:hAnsi="黑体" w:eastAsia="黑体"/>
          <w:b/>
          <w:sz w:val="40"/>
          <w:szCs w:val="40"/>
        </w:rPr>
      </w:pPr>
      <w:r>
        <w:rPr>
          <w:rFonts w:hint="eastAsia" w:ascii="黑体" w:hAnsi="黑体" w:eastAsia="黑体"/>
          <w:b/>
          <w:sz w:val="40"/>
          <w:szCs w:val="40"/>
        </w:rPr>
        <w:t>达州职业技术学院</w:t>
      </w:r>
    </w:p>
    <w:p>
      <w:pPr>
        <w:spacing w:line="600" w:lineRule="exact"/>
        <w:jc w:val="center"/>
        <w:rPr>
          <w:rFonts w:ascii="黑体" w:hAnsi="黑体" w:eastAsia="黑体"/>
          <w:b/>
          <w:sz w:val="40"/>
          <w:szCs w:val="40"/>
          <w:lang w:val="zh-CN"/>
        </w:rPr>
      </w:pPr>
      <w:r>
        <w:rPr>
          <w:rFonts w:hint="eastAsia" w:ascii="黑体" w:hAnsi="黑体" w:eastAsia="黑体"/>
          <w:b/>
          <w:sz w:val="40"/>
          <w:szCs w:val="40"/>
          <w:lang w:val="zh-CN"/>
        </w:rPr>
        <w:t>201</w:t>
      </w:r>
      <w:r>
        <w:rPr>
          <w:rFonts w:hint="eastAsia" w:ascii="黑体" w:hAnsi="黑体" w:eastAsia="黑体"/>
          <w:b/>
          <w:sz w:val="40"/>
          <w:szCs w:val="40"/>
        </w:rPr>
        <w:t>7</w:t>
      </w:r>
      <w:r>
        <w:rPr>
          <w:rFonts w:hint="eastAsia" w:ascii="黑体" w:hAnsi="黑体" w:eastAsia="黑体"/>
          <w:b/>
          <w:sz w:val="40"/>
          <w:szCs w:val="40"/>
          <w:lang w:val="zh-CN"/>
        </w:rPr>
        <w:t>年</w:t>
      </w:r>
      <w:r>
        <w:rPr>
          <w:rFonts w:hint="eastAsia" w:ascii="黑体" w:hAnsi="黑体" w:eastAsia="黑体"/>
          <w:b/>
          <w:sz w:val="40"/>
          <w:szCs w:val="40"/>
          <w:lang w:val="en-US" w:eastAsia="zh-CN"/>
        </w:rPr>
        <w:t>4</w:t>
      </w:r>
      <w:r>
        <w:rPr>
          <w:rFonts w:hint="eastAsia" w:ascii="黑体" w:hAnsi="黑体" w:eastAsia="黑体"/>
          <w:b/>
          <w:sz w:val="40"/>
          <w:szCs w:val="40"/>
          <w:lang w:val="zh-CN"/>
        </w:rPr>
        <w:t>月</w:t>
      </w:r>
      <w:bookmarkStart w:id="3" w:name="_Hlt101233737"/>
      <w:bookmarkEnd w:id="3"/>
      <w:bookmarkStart w:id="4" w:name="_Hlt101843627"/>
      <w:bookmarkEnd w:id="4"/>
    </w:p>
    <w:p>
      <w:pPr>
        <w:spacing w:line="400" w:lineRule="exact"/>
      </w:pPr>
    </w:p>
    <w:p>
      <w:pPr>
        <w:spacing w:line="400" w:lineRule="exact"/>
        <w:ind w:left="105" w:leftChars="50" w:firstLine="904" w:firstLineChars="250"/>
        <w:contextualSpacing/>
        <w:jc w:val="center"/>
        <w:rPr>
          <w:rFonts w:ascii="宋体" w:hAnsi="宋体"/>
          <w:b/>
          <w:sz w:val="36"/>
          <w:szCs w:val="36"/>
        </w:rPr>
      </w:pPr>
    </w:p>
    <w:p>
      <w:pPr>
        <w:spacing w:line="400" w:lineRule="exact"/>
        <w:ind w:left="105" w:leftChars="50" w:firstLine="904" w:firstLineChars="250"/>
        <w:contextualSpacing/>
        <w:jc w:val="center"/>
        <w:rPr>
          <w:rFonts w:ascii="宋体" w:hAnsi="宋体"/>
          <w:b/>
          <w:sz w:val="36"/>
          <w:szCs w:val="36"/>
        </w:rPr>
      </w:pPr>
      <w:r>
        <w:rPr>
          <w:rFonts w:hint="eastAsia" w:ascii="宋体" w:hAnsi="宋体"/>
          <w:b/>
          <w:sz w:val="36"/>
          <w:szCs w:val="36"/>
        </w:rPr>
        <w:t>第一章  投标邀请</w:t>
      </w:r>
      <w:bookmarkEnd w:id="0"/>
      <w:bookmarkEnd w:id="1"/>
      <w:bookmarkEnd w:id="2"/>
    </w:p>
    <w:p>
      <w:pPr>
        <w:spacing w:line="400" w:lineRule="exact"/>
        <w:ind w:left="105" w:leftChars="50" w:firstLine="904" w:firstLineChars="250"/>
        <w:contextualSpacing/>
        <w:jc w:val="center"/>
        <w:rPr>
          <w:rFonts w:ascii="宋体" w:hAnsi="宋体"/>
          <w:b/>
          <w:sz w:val="36"/>
          <w:szCs w:val="36"/>
        </w:rPr>
      </w:pPr>
    </w:p>
    <w:p>
      <w:pPr>
        <w:spacing w:line="400" w:lineRule="exact"/>
        <w:ind w:left="105" w:leftChars="50" w:firstLine="420" w:firstLineChars="200"/>
        <w:contextualSpacing/>
        <w:jc w:val="left"/>
        <w:rPr>
          <w:rFonts w:ascii="宋体" w:hAnsi="宋体"/>
          <w:szCs w:val="21"/>
        </w:rPr>
      </w:pPr>
      <w:r>
        <w:rPr>
          <w:rFonts w:hint="eastAsia" w:ascii="宋体" w:hAnsi="宋体"/>
          <w:szCs w:val="21"/>
          <w:u w:val="single"/>
        </w:rPr>
        <w:t>达州职业技术学院</w:t>
      </w:r>
      <w:r>
        <w:rPr>
          <w:rFonts w:hint="eastAsia" w:ascii="宋体" w:hAnsi="宋体"/>
          <w:bCs/>
          <w:szCs w:val="21"/>
        </w:rPr>
        <w:t>（采购人）</w:t>
      </w:r>
      <w:r>
        <w:rPr>
          <w:rFonts w:hint="eastAsia" w:ascii="宋体" w:hAnsi="宋体"/>
          <w:szCs w:val="21"/>
        </w:rPr>
        <w:t>拟对“</w:t>
      </w:r>
      <w:r>
        <w:rPr>
          <w:rFonts w:hint="eastAsia" w:ascii="宋体" w:hAnsi="宋体"/>
          <w:b/>
          <w:szCs w:val="21"/>
          <w:u w:val="single"/>
        </w:rPr>
        <w:t>机电实训耗材采购及相关服务</w:t>
      </w:r>
      <w:r>
        <w:rPr>
          <w:rFonts w:hint="eastAsia" w:ascii="宋体" w:hAnsi="宋体"/>
          <w:szCs w:val="21"/>
        </w:rPr>
        <w:t>”项目进行公开招标，兹邀请符合本次招标要求的供应商参加投标。</w:t>
      </w:r>
    </w:p>
    <w:p>
      <w:pPr>
        <w:spacing w:line="400" w:lineRule="exact"/>
        <w:ind w:left="105" w:leftChars="50" w:firstLine="422" w:firstLineChars="200"/>
        <w:contextualSpacing/>
        <w:rPr>
          <w:rFonts w:ascii="宋体" w:hAnsi="宋体"/>
          <w:szCs w:val="21"/>
        </w:rPr>
      </w:pPr>
      <w:r>
        <w:rPr>
          <w:rFonts w:hint="eastAsia" w:ascii="宋体" w:hAnsi="宋体"/>
          <w:b/>
          <w:szCs w:val="21"/>
        </w:rPr>
        <w:t>一、招标编号：</w:t>
      </w:r>
      <w:r>
        <w:rPr>
          <w:rFonts w:hint="eastAsia" w:ascii="宋体" w:hAnsi="宋体"/>
          <w:szCs w:val="21"/>
        </w:rPr>
        <w:t>达职院（公）〔2017〕006号</w:t>
      </w:r>
    </w:p>
    <w:p>
      <w:pPr>
        <w:widowControl/>
        <w:spacing w:line="400" w:lineRule="exact"/>
        <w:ind w:left="105" w:leftChars="50" w:firstLine="413" w:firstLineChars="196"/>
        <w:contextualSpacing/>
        <w:rPr>
          <w:rFonts w:ascii="宋体" w:hAnsi="宋体"/>
          <w:b/>
          <w:szCs w:val="21"/>
          <w:u w:val="single"/>
        </w:rPr>
      </w:pPr>
      <w:r>
        <w:rPr>
          <w:rFonts w:hint="eastAsia" w:ascii="宋体" w:hAnsi="宋体"/>
          <w:b/>
          <w:bCs/>
          <w:szCs w:val="21"/>
        </w:rPr>
        <w:t>二、</w:t>
      </w:r>
      <w:r>
        <w:rPr>
          <w:rFonts w:hint="eastAsia" w:ascii="宋体" w:hAnsi="宋体"/>
          <w:b/>
          <w:szCs w:val="21"/>
        </w:rPr>
        <w:t>招标项目：</w:t>
      </w:r>
      <w:r>
        <w:rPr>
          <w:rFonts w:hint="eastAsia" w:ascii="宋体" w:hAnsi="宋体"/>
          <w:b/>
          <w:szCs w:val="21"/>
          <w:u w:val="single"/>
        </w:rPr>
        <w:t>机电实训耗材采购及相关服务</w:t>
      </w:r>
    </w:p>
    <w:p>
      <w:pPr>
        <w:widowControl/>
        <w:spacing w:line="400" w:lineRule="exact"/>
        <w:ind w:left="105" w:leftChars="50" w:firstLine="413" w:firstLineChars="196"/>
        <w:contextualSpacing/>
        <w:rPr>
          <w:rFonts w:ascii="宋体" w:hAnsi="宋体"/>
          <w:b/>
          <w:szCs w:val="21"/>
        </w:rPr>
      </w:pPr>
      <w:r>
        <w:rPr>
          <w:rFonts w:hint="eastAsia" w:ascii="宋体" w:hAnsi="宋体"/>
          <w:b/>
          <w:szCs w:val="21"/>
        </w:rPr>
        <w:t>三、资金来源：</w:t>
      </w:r>
      <w:r>
        <w:rPr>
          <w:rFonts w:hint="eastAsia" w:ascii="宋体" w:hAnsi="宋体"/>
          <w:szCs w:val="21"/>
          <w:u w:val="single"/>
        </w:rPr>
        <w:t>财政预算</w:t>
      </w:r>
    </w:p>
    <w:p>
      <w:pPr>
        <w:widowControl/>
        <w:spacing w:line="400" w:lineRule="exact"/>
        <w:ind w:left="105" w:leftChars="50" w:firstLine="413" w:firstLineChars="196"/>
        <w:contextualSpacing/>
        <w:rPr>
          <w:rFonts w:ascii="宋体" w:hAnsi="宋体"/>
          <w:szCs w:val="21"/>
          <w:u w:val="single"/>
        </w:rPr>
      </w:pPr>
      <w:r>
        <w:rPr>
          <w:rFonts w:hint="eastAsia" w:ascii="宋体" w:hAnsi="宋体"/>
          <w:b/>
          <w:szCs w:val="21"/>
        </w:rPr>
        <w:t>四、服务期限：</w:t>
      </w:r>
      <w:r>
        <w:rPr>
          <w:rFonts w:hint="eastAsia" w:ascii="宋体" w:hAnsi="宋体"/>
          <w:szCs w:val="21"/>
          <w:u w:val="single"/>
        </w:rPr>
        <w:t>本项目合同签订之日起至服务内容验收合格之日止</w:t>
      </w:r>
      <w:r>
        <w:rPr>
          <w:rFonts w:hint="eastAsia" w:ascii="宋体" w:hAnsi="宋体"/>
          <w:szCs w:val="21"/>
        </w:rPr>
        <w:t>。</w:t>
      </w:r>
    </w:p>
    <w:p>
      <w:pPr>
        <w:spacing w:line="400" w:lineRule="exact"/>
        <w:ind w:left="105" w:leftChars="50" w:firstLine="422" w:firstLineChars="200"/>
        <w:contextualSpacing/>
        <w:rPr>
          <w:rFonts w:ascii="宋体" w:hAnsi="宋体"/>
          <w:b/>
          <w:bCs/>
          <w:szCs w:val="21"/>
        </w:rPr>
      </w:pPr>
      <w:r>
        <w:rPr>
          <w:rFonts w:hint="eastAsia" w:ascii="宋体" w:hAnsi="宋体"/>
          <w:b/>
          <w:bCs/>
          <w:szCs w:val="21"/>
        </w:rPr>
        <w:t>五、供应商参加本次采购活动应具备下列条件：</w:t>
      </w:r>
    </w:p>
    <w:p>
      <w:pPr>
        <w:pStyle w:val="214"/>
        <w:spacing w:line="400" w:lineRule="exact"/>
        <w:ind w:left="105" w:leftChars="50" w:firstLine="409" w:firstLineChars="195"/>
        <w:contextualSpacing/>
        <w:rPr>
          <w:rFonts w:hint="eastAsia" w:cs="Calibri" w:asciiTheme="minorEastAsia" w:hAnsiTheme="minorEastAsia" w:eastAsiaTheme="minorEastAsia"/>
          <w:kern w:val="2"/>
          <w:sz w:val="21"/>
          <w:szCs w:val="21"/>
        </w:rPr>
      </w:pPr>
      <w:r>
        <w:rPr>
          <w:rFonts w:hint="eastAsia" w:cs="Calibri" w:asciiTheme="minorEastAsia" w:hAnsiTheme="minorEastAsia" w:eastAsiaTheme="minorEastAsia"/>
          <w:kern w:val="2"/>
          <w:sz w:val="21"/>
          <w:szCs w:val="21"/>
        </w:rPr>
        <w:t xml:space="preserve">  1、具有独立承担民事责任的能力。</w:t>
      </w:r>
    </w:p>
    <w:p>
      <w:pPr>
        <w:pStyle w:val="214"/>
        <w:spacing w:line="400" w:lineRule="exact"/>
        <w:ind w:left="105" w:leftChars="50" w:firstLine="409" w:firstLineChars="195"/>
        <w:contextualSpacing/>
        <w:rPr>
          <w:rFonts w:hint="eastAsia" w:cs="Calibri" w:asciiTheme="minorEastAsia" w:hAnsiTheme="minorEastAsia" w:eastAsiaTheme="minorEastAsia"/>
          <w:kern w:val="2"/>
          <w:sz w:val="21"/>
          <w:szCs w:val="21"/>
        </w:rPr>
      </w:pPr>
      <w:r>
        <w:rPr>
          <w:rFonts w:hint="eastAsia" w:cs="Calibri" w:asciiTheme="minorEastAsia" w:hAnsiTheme="minorEastAsia" w:eastAsiaTheme="minorEastAsia"/>
          <w:kern w:val="2"/>
          <w:sz w:val="21"/>
          <w:szCs w:val="21"/>
        </w:rPr>
        <w:t xml:space="preserve">  2、具有良好的商业信誉和健全的财务会计制度。</w:t>
      </w:r>
    </w:p>
    <w:p>
      <w:pPr>
        <w:pStyle w:val="214"/>
        <w:spacing w:line="400" w:lineRule="exact"/>
        <w:ind w:left="105" w:leftChars="50" w:firstLine="409" w:firstLineChars="195"/>
        <w:contextualSpacing/>
        <w:rPr>
          <w:rFonts w:hint="eastAsia" w:cs="Calibri" w:asciiTheme="minorEastAsia" w:hAnsiTheme="minorEastAsia" w:eastAsiaTheme="minorEastAsia"/>
          <w:kern w:val="2"/>
          <w:sz w:val="21"/>
          <w:szCs w:val="21"/>
        </w:rPr>
      </w:pPr>
      <w:r>
        <w:rPr>
          <w:rFonts w:hint="eastAsia" w:cs="Calibri" w:asciiTheme="minorEastAsia" w:hAnsiTheme="minorEastAsia" w:eastAsiaTheme="minorEastAsia"/>
          <w:kern w:val="2"/>
          <w:sz w:val="21"/>
          <w:szCs w:val="21"/>
        </w:rPr>
        <w:t xml:space="preserve">  3、具有履行合同所必须的设备和专业技术能力。</w:t>
      </w:r>
    </w:p>
    <w:p>
      <w:pPr>
        <w:pStyle w:val="214"/>
        <w:spacing w:line="400" w:lineRule="exact"/>
        <w:ind w:left="105" w:leftChars="50" w:firstLine="409" w:firstLineChars="195"/>
        <w:contextualSpacing/>
        <w:rPr>
          <w:rFonts w:hint="eastAsia" w:cs="Calibri" w:asciiTheme="minorEastAsia" w:hAnsiTheme="minorEastAsia" w:eastAsiaTheme="minorEastAsia"/>
          <w:kern w:val="2"/>
          <w:sz w:val="21"/>
          <w:szCs w:val="21"/>
        </w:rPr>
      </w:pPr>
      <w:r>
        <w:rPr>
          <w:rFonts w:hint="eastAsia" w:cs="Calibri" w:asciiTheme="minorEastAsia" w:hAnsiTheme="minorEastAsia" w:eastAsiaTheme="minorEastAsia"/>
          <w:kern w:val="2"/>
          <w:sz w:val="21"/>
          <w:szCs w:val="21"/>
        </w:rPr>
        <w:t xml:space="preserve">  4、具有依法缴纳税收和社会保障资金的良好记录。</w:t>
      </w:r>
    </w:p>
    <w:p>
      <w:pPr>
        <w:pStyle w:val="214"/>
        <w:spacing w:line="400" w:lineRule="exact"/>
        <w:ind w:left="105" w:leftChars="50" w:firstLine="409" w:firstLineChars="195"/>
        <w:contextualSpacing/>
        <w:rPr>
          <w:rFonts w:hint="eastAsia" w:cs="Calibri" w:asciiTheme="minorEastAsia" w:hAnsiTheme="minorEastAsia" w:eastAsiaTheme="minorEastAsia"/>
          <w:kern w:val="2"/>
          <w:sz w:val="21"/>
          <w:szCs w:val="21"/>
        </w:rPr>
      </w:pPr>
      <w:r>
        <w:rPr>
          <w:rFonts w:hint="eastAsia" w:cs="Calibri" w:asciiTheme="minorEastAsia" w:hAnsiTheme="minorEastAsia" w:eastAsiaTheme="minorEastAsia"/>
          <w:kern w:val="2"/>
          <w:sz w:val="21"/>
          <w:szCs w:val="21"/>
        </w:rPr>
        <w:t xml:space="preserve">  5、参加本次采购活动前三年内，在经营活动中没有重大违法违规记录。</w:t>
      </w:r>
    </w:p>
    <w:p>
      <w:pPr>
        <w:pStyle w:val="214"/>
        <w:spacing w:line="400" w:lineRule="exact"/>
        <w:ind w:left="105" w:leftChars="50" w:firstLine="409" w:firstLineChars="195"/>
        <w:contextualSpacing/>
        <w:rPr>
          <w:rFonts w:hint="eastAsia" w:cs="Calibri" w:asciiTheme="minorEastAsia" w:hAnsiTheme="minorEastAsia" w:eastAsiaTheme="minorEastAsia"/>
          <w:kern w:val="2"/>
          <w:sz w:val="21"/>
          <w:szCs w:val="21"/>
        </w:rPr>
      </w:pPr>
      <w:r>
        <w:rPr>
          <w:rFonts w:hint="eastAsia" w:cs="Calibri" w:asciiTheme="minorEastAsia" w:hAnsiTheme="minorEastAsia" w:eastAsiaTheme="minorEastAsia"/>
          <w:kern w:val="2"/>
          <w:sz w:val="21"/>
          <w:szCs w:val="21"/>
        </w:rPr>
        <w:t xml:space="preserve">  6、法律、行政法规规定的其他条件。</w:t>
      </w:r>
    </w:p>
    <w:p>
      <w:pPr>
        <w:pStyle w:val="214"/>
        <w:spacing w:line="400" w:lineRule="exact"/>
        <w:ind w:left="105" w:leftChars="50" w:firstLine="411" w:firstLineChars="195"/>
        <w:contextualSpacing/>
        <w:rPr>
          <w:rFonts w:hAnsi="宋体" w:cs="宋体"/>
          <w:b/>
          <w:bCs/>
          <w:sz w:val="21"/>
          <w:szCs w:val="21"/>
          <w:lang w:val="zh-CN"/>
        </w:rPr>
      </w:pPr>
      <w:r>
        <w:rPr>
          <w:rFonts w:hint="eastAsia" w:hAnsi="宋体"/>
          <w:b/>
          <w:sz w:val="21"/>
          <w:szCs w:val="21"/>
        </w:rPr>
        <w:t>六、</w:t>
      </w:r>
      <w:r>
        <w:rPr>
          <w:rFonts w:hint="eastAsia" w:hAnsi="宋体" w:cs="宋体"/>
          <w:b/>
          <w:bCs/>
          <w:sz w:val="21"/>
          <w:szCs w:val="21"/>
          <w:lang w:val="zh-CN"/>
        </w:rPr>
        <w:t>资格审查：</w:t>
      </w:r>
    </w:p>
    <w:p>
      <w:pPr>
        <w:spacing w:line="400" w:lineRule="exact"/>
        <w:ind w:left="105" w:leftChars="50" w:firstLine="420" w:firstLineChars="200"/>
        <w:contextualSpacing/>
        <w:rPr>
          <w:rFonts w:ascii="宋体" w:hAnsi="宋体" w:cs="宋体"/>
          <w:bCs/>
          <w:szCs w:val="21"/>
          <w:lang w:val="zh-CN"/>
        </w:rPr>
      </w:pPr>
      <w:r>
        <w:rPr>
          <w:rFonts w:hint="eastAsia" w:ascii="宋体" w:hAnsi="宋体" w:cs="宋体"/>
          <w:bCs/>
          <w:szCs w:val="21"/>
          <w:lang w:val="zh-CN"/>
        </w:rPr>
        <w:t>除明确要求在购买招标文件时需提供的资格证明文件外，本项目投标供应商的资格条件在评标时进行审查。供应商应在投标文件中按招标文件的规定和要求附上所有的资格证明文件（复印件加盖鲜章），并提供原件备查。若提供的资格证明文件不全或不实，将导致其投标或中标资格被取消。</w:t>
      </w:r>
    </w:p>
    <w:p>
      <w:pPr>
        <w:spacing w:line="400" w:lineRule="exact"/>
        <w:ind w:left="105" w:leftChars="50" w:firstLine="422" w:firstLineChars="200"/>
        <w:contextualSpacing/>
        <w:rPr>
          <w:rFonts w:ascii="宋体" w:hAnsi="宋体"/>
          <w:b/>
          <w:szCs w:val="21"/>
        </w:rPr>
      </w:pPr>
      <w:r>
        <w:rPr>
          <w:rFonts w:hint="eastAsia" w:ascii="宋体" w:hAnsi="宋体"/>
          <w:b/>
          <w:szCs w:val="21"/>
        </w:rPr>
        <w:t>七、招标文件发售时间、地点：</w:t>
      </w:r>
    </w:p>
    <w:p>
      <w:pPr>
        <w:spacing w:line="400" w:lineRule="exact"/>
        <w:ind w:left="105" w:leftChars="50" w:firstLine="420" w:firstLineChars="200"/>
        <w:contextualSpacing/>
        <w:rPr>
          <w:rFonts w:ascii="宋体" w:hAnsi="宋体"/>
          <w:szCs w:val="21"/>
        </w:rPr>
      </w:pPr>
      <w:r>
        <w:rPr>
          <w:rFonts w:hint="eastAsia" w:ascii="宋体" w:hAnsi="宋体"/>
          <w:szCs w:val="21"/>
        </w:rPr>
        <w:t>本项目招标文件自2017年</w:t>
      </w:r>
      <w:r>
        <w:rPr>
          <w:rFonts w:hint="eastAsia" w:ascii="宋体" w:hAnsi="宋体"/>
          <w:szCs w:val="21"/>
          <w:lang w:val="en-US" w:eastAsia="zh-CN"/>
        </w:rPr>
        <w:t>4</w:t>
      </w:r>
      <w:r>
        <w:rPr>
          <w:rFonts w:hint="eastAsia" w:ascii="宋体" w:hAnsi="宋体"/>
          <w:szCs w:val="21"/>
        </w:rPr>
        <w:t>月</w:t>
      </w:r>
      <w:r>
        <w:rPr>
          <w:rFonts w:hint="eastAsia" w:ascii="宋体" w:hAnsi="宋体"/>
          <w:szCs w:val="21"/>
          <w:lang w:val="en-US" w:eastAsia="zh-CN"/>
        </w:rPr>
        <w:t>5</w:t>
      </w:r>
      <w:r>
        <w:rPr>
          <w:rFonts w:hint="eastAsia" w:ascii="宋体" w:hAnsi="宋体"/>
          <w:szCs w:val="21"/>
        </w:rPr>
        <w:t>日起至2017年</w:t>
      </w:r>
      <w:r>
        <w:rPr>
          <w:rFonts w:hint="eastAsia" w:ascii="宋体" w:hAnsi="宋体"/>
          <w:szCs w:val="21"/>
          <w:lang w:val="en-US" w:eastAsia="zh-CN"/>
        </w:rPr>
        <w:t>4</w:t>
      </w:r>
      <w:r>
        <w:rPr>
          <w:rFonts w:hint="eastAsia" w:ascii="宋体" w:hAnsi="宋体"/>
          <w:szCs w:val="21"/>
        </w:rPr>
        <w:t>月</w:t>
      </w:r>
      <w:r>
        <w:rPr>
          <w:rFonts w:hint="eastAsia" w:ascii="宋体" w:hAnsi="宋体"/>
          <w:szCs w:val="21"/>
          <w:lang w:val="en-US" w:eastAsia="zh-CN"/>
        </w:rPr>
        <w:t>7</w:t>
      </w:r>
      <w:r>
        <w:rPr>
          <w:rFonts w:hint="eastAsia" w:ascii="宋体" w:hAnsi="宋体"/>
          <w:szCs w:val="21"/>
        </w:rPr>
        <w:t>日止9:00- 17:00（北京时间）</w:t>
      </w:r>
      <w:r>
        <w:rPr>
          <w:rFonts w:hint="eastAsia" w:ascii="宋体" w:hAnsi="宋体" w:cs="宋体"/>
          <w:kern w:val="0"/>
          <w:szCs w:val="21"/>
        </w:rPr>
        <w:t>现场（</w:t>
      </w:r>
      <w:r>
        <w:rPr>
          <w:rFonts w:hint="eastAsia" w:ascii="宋体" w:hAnsi="宋体"/>
          <w:szCs w:val="21"/>
        </w:rPr>
        <w:t>达州市通川区北外徐家坝路448号</w:t>
      </w:r>
      <w:r>
        <w:rPr>
          <w:rFonts w:hint="eastAsia" w:ascii="宋体" w:hAnsi="宋体" w:cs="Arial"/>
          <w:szCs w:val="21"/>
        </w:rPr>
        <w:t>达州职业技术学院工会</w:t>
      </w:r>
      <w:r>
        <w:rPr>
          <w:rFonts w:hint="eastAsia" w:ascii="宋体" w:hAnsi="宋体" w:cs="宋体"/>
          <w:kern w:val="0"/>
          <w:szCs w:val="21"/>
        </w:rPr>
        <w:t>）购买</w:t>
      </w:r>
      <w:r>
        <w:rPr>
          <w:rFonts w:hint="eastAsia" w:ascii="宋体" w:hAnsi="宋体"/>
          <w:szCs w:val="21"/>
        </w:rPr>
        <w:t>。招标文件售价：人民币</w:t>
      </w:r>
      <w:r>
        <w:rPr>
          <w:rFonts w:hint="eastAsia" w:ascii="宋体" w:hAnsi="宋体"/>
          <w:szCs w:val="21"/>
          <w:u w:val="single"/>
        </w:rPr>
        <w:t>100</w:t>
      </w:r>
      <w:r>
        <w:rPr>
          <w:rFonts w:hint="eastAsia" w:ascii="宋体" w:hAnsi="宋体"/>
          <w:szCs w:val="21"/>
        </w:rPr>
        <w:t>元/份（招标文件售后不退, 投标资格不能转让）。</w:t>
      </w:r>
    </w:p>
    <w:p>
      <w:pPr>
        <w:spacing w:line="400" w:lineRule="exact"/>
        <w:ind w:left="105" w:leftChars="50" w:firstLine="420" w:firstLineChars="200"/>
        <w:contextualSpacing/>
        <w:rPr>
          <w:rFonts w:ascii="宋体" w:hAnsi="宋体"/>
          <w:szCs w:val="21"/>
          <w:shd w:val="pct10" w:color="auto" w:fill="FFFFFF"/>
        </w:rPr>
      </w:pPr>
      <w:r>
        <w:rPr>
          <w:rFonts w:hint="eastAsia" w:ascii="宋体" w:hAnsi="宋体"/>
          <w:szCs w:val="21"/>
        </w:rPr>
        <w:t>供应商购买招标文件时应出示</w:t>
      </w:r>
      <w:r>
        <w:rPr>
          <w:rFonts w:hint="eastAsia" w:ascii="宋体" w:hAnsi="宋体" w:cs="宋体"/>
          <w:bCs/>
          <w:szCs w:val="21"/>
          <w:lang w:val="zh-CN"/>
        </w:rPr>
        <w:t>资格证明文件</w:t>
      </w:r>
      <w:r>
        <w:rPr>
          <w:rFonts w:hint="eastAsia" w:ascii="宋体" w:hAnsi="宋体" w:cs="宋体"/>
          <w:bCs/>
          <w:szCs w:val="21"/>
        </w:rPr>
        <w:t>（</w:t>
      </w:r>
      <w:r>
        <w:rPr>
          <w:rFonts w:hint="eastAsia" w:ascii="宋体" w:hAnsi="宋体" w:cs="宋体"/>
          <w:bCs/>
          <w:szCs w:val="21"/>
          <w:lang w:val="zh-CN"/>
        </w:rPr>
        <w:t>营业执照的复印件</w:t>
      </w:r>
      <w:r>
        <w:rPr>
          <w:rFonts w:hint="eastAsia" w:ascii="宋体" w:hAnsi="宋体" w:cs="宋体"/>
          <w:bCs/>
          <w:szCs w:val="21"/>
        </w:rPr>
        <w:t>）</w:t>
      </w:r>
      <w:r>
        <w:rPr>
          <w:rFonts w:hint="eastAsia" w:ascii="宋体" w:hAnsi="宋体"/>
          <w:szCs w:val="21"/>
        </w:rPr>
        <w:t>。</w:t>
      </w:r>
    </w:p>
    <w:p>
      <w:pPr>
        <w:spacing w:line="400" w:lineRule="exact"/>
        <w:ind w:left="105" w:leftChars="50" w:firstLine="422" w:firstLineChars="200"/>
        <w:contextualSpacing/>
        <w:rPr>
          <w:rFonts w:ascii="宋体" w:hAnsi="宋体"/>
          <w:szCs w:val="21"/>
        </w:rPr>
      </w:pPr>
      <w:r>
        <w:rPr>
          <w:rFonts w:hint="eastAsia" w:ascii="宋体" w:hAnsi="宋体"/>
          <w:b/>
          <w:szCs w:val="21"/>
        </w:rPr>
        <w:t>八、投标截止时间和开标时间：</w:t>
      </w:r>
      <w:r>
        <w:rPr>
          <w:rFonts w:hint="eastAsia" w:ascii="宋体" w:hAnsi="宋体"/>
          <w:bCs/>
          <w:szCs w:val="21"/>
        </w:rPr>
        <w:t>2017年</w:t>
      </w:r>
      <w:r>
        <w:rPr>
          <w:rFonts w:hint="eastAsia" w:ascii="宋体" w:hAnsi="宋体"/>
          <w:bCs/>
          <w:szCs w:val="21"/>
          <w:lang w:val="en-US" w:eastAsia="zh-CN"/>
        </w:rPr>
        <w:t>4</w:t>
      </w:r>
      <w:r>
        <w:rPr>
          <w:rFonts w:hint="eastAsia" w:ascii="宋体" w:hAnsi="宋体"/>
          <w:bCs/>
          <w:szCs w:val="21"/>
        </w:rPr>
        <w:t>月</w:t>
      </w:r>
      <w:r>
        <w:rPr>
          <w:rFonts w:hint="eastAsia" w:ascii="宋体" w:hAnsi="宋体"/>
          <w:bCs/>
          <w:szCs w:val="21"/>
          <w:lang w:val="en-US" w:eastAsia="zh-CN"/>
        </w:rPr>
        <w:t>10</w:t>
      </w:r>
      <w:r>
        <w:rPr>
          <w:rFonts w:hint="eastAsia" w:ascii="宋体" w:hAnsi="宋体"/>
          <w:bCs/>
          <w:szCs w:val="21"/>
        </w:rPr>
        <w:t>日</w:t>
      </w:r>
      <w:r>
        <w:rPr>
          <w:rFonts w:hint="eastAsia" w:ascii="宋体" w:hAnsi="宋体" w:cs="Arial"/>
          <w:kern w:val="0"/>
          <w:szCs w:val="21"/>
        </w:rPr>
        <w:t>15:00</w:t>
      </w:r>
      <w:r>
        <w:rPr>
          <w:rFonts w:hint="eastAsia" w:ascii="宋体" w:hAnsi="宋体"/>
          <w:szCs w:val="21"/>
        </w:rPr>
        <w:t>（北京时间）。</w:t>
      </w:r>
    </w:p>
    <w:p>
      <w:pPr>
        <w:pStyle w:val="21"/>
        <w:spacing w:line="400" w:lineRule="exact"/>
        <w:ind w:left="105" w:leftChars="50" w:firstLine="480"/>
        <w:contextualSpacing/>
        <w:rPr>
          <w:rFonts w:ascii="宋体" w:hAnsi="宋体"/>
          <w:sz w:val="21"/>
          <w:szCs w:val="21"/>
        </w:rPr>
      </w:pPr>
      <w:r>
        <w:rPr>
          <w:rFonts w:hint="eastAsia" w:ascii="宋体" w:hAnsi="宋体"/>
          <w:sz w:val="21"/>
          <w:szCs w:val="21"/>
        </w:rPr>
        <w:t>投标文件必须在投标截止时间前送达开标地点。逾期送达的投标文件恕不接收。本次招标不接受邮寄的投标文件。</w:t>
      </w:r>
    </w:p>
    <w:p>
      <w:pPr>
        <w:spacing w:line="400" w:lineRule="exact"/>
        <w:ind w:left="105" w:leftChars="50" w:firstLine="428" w:firstLineChars="203"/>
        <w:contextualSpacing/>
        <w:rPr>
          <w:rFonts w:ascii="宋体" w:hAnsi="宋体"/>
          <w:b/>
          <w:szCs w:val="21"/>
        </w:rPr>
      </w:pPr>
      <w:r>
        <w:rPr>
          <w:rFonts w:hint="eastAsia" w:ascii="宋体" w:hAnsi="宋体"/>
          <w:b/>
          <w:szCs w:val="21"/>
        </w:rPr>
        <w:t>九、投标地点：</w:t>
      </w:r>
      <w:r>
        <w:rPr>
          <w:rFonts w:hint="eastAsia" w:ascii="宋体" w:hAnsi="宋体"/>
          <w:szCs w:val="21"/>
        </w:rPr>
        <w:t>达州职业技术学院监审处（行政办公楼右侧三楼）。</w:t>
      </w:r>
    </w:p>
    <w:p>
      <w:pPr>
        <w:spacing w:line="400" w:lineRule="exact"/>
        <w:ind w:left="105" w:leftChars="50" w:firstLine="428" w:firstLineChars="203"/>
        <w:contextualSpacing/>
        <w:rPr>
          <w:rFonts w:ascii="宋体" w:hAnsi="宋体"/>
          <w:szCs w:val="21"/>
        </w:rPr>
      </w:pPr>
      <w:r>
        <w:rPr>
          <w:rFonts w:hint="eastAsia" w:ascii="宋体" w:hAnsi="宋体"/>
          <w:b/>
          <w:szCs w:val="21"/>
        </w:rPr>
        <w:t>十、开标地点：</w:t>
      </w:r>
      <w:r>
        <w:rPr>
          <w:rFonts w:hint="eastAsia" w:ascii="宋体" w:hAnsi="宋体"/>
          <w:szCs w:val="21"/>
        </w:rPr>
        <w:t>达州职业技术学院国资基建处办公室（达州市通川区北外徐家坝路448号）。</w:t>
      </w:r>
    </w:p>
    <w:p>
      <w:pPr>
        <w:pStyle w:val="144"/>
        <w:spacing w:line="400" w:lineRule="exact"/>
        <w:ind w:left="105" w:leftChars="50" w:firstLine="422"/>
        <w:contextualSpacing/>
        <w:rPr>
          <w:rFonts w:ascii="宋体" w:hAnsi="宋体"/>
          <w:b/>
          <w:szCs w:val="21"/>
        </w:rPr>
      </w:pPr>
      <w:r>
        <w:rPr>
          <w:rFonts w:hint="eastAsia" w:ascii="宋体" w:hAnsi="宋体"/>
          <w:b/>
          <w:szCs w:val="21"/>
        </w:rPr>
        <w:t>十一、本投标邀请在达州职业技术学院</w:t>
      </w:r>
      <w:r>
        <w:rPr>
          <w:rFonts w:hint="eastAsia" w:ascii="宋体" w:hAnsi="宋体" w:cs="Arial"/>
          <w:b/>
          <w:szCs w:val="21"/>
        </w:rPr>
        <w:t>网</w:t>
      </w:r>
      <w:r>
        <w:rPr>
          <w:rFonts w:hint="eastAsia" w:ascii="宋体" w:hAnsi="宋体" w:cs="Arial"/>
          <w:szCs w:val="21"/>
        </w:rPr>
        <w:t>（www.dzvtc.edu.cn）</w:t>
      </w:r>
      <w:r>
        <w:rPr>
          <w:rFonts w:hint="eastAsia" w:ascii="宋体" w:hAnsi="宋体"/>
          <w:b/>
          <w:szCs w:val="21"/>
        </w:rPr>
        <w:t>上以公告形式发布。</w:t>
      </w:r>
    </w:p>
    <w:p>
      <w:pPr>
        <w:spacing w:line="400" w:lineRule="exact"/>
        <w:ind w:left="105" w:leftChars="50" w:firstLine="422" w:firstLineChars="200"/>
        <w:contextualSpacing/>
        <w:rPr>
          <w:rFonts w:ascii="宋体" w:hAnsi="宋体"/>
          <w:b/>
          <w:szCs w:val="21"/>
        </w:rPr>
      </w:pPr>
      <w:bookmarkStart w:id="5" w:name="_Toc217446031"/>
      <w:bookmarkStart w:id="6" w:name="_Toc283712537"/>
      <w:bookmarkStart w:id="7" w:name="_Toc308164960"/>
      <w:bookmarkStart w:id="8" w:name="_Toc213396945"/>
      <w:bookmarkStart w:id="9" w:name="_Toc213397009"/>
      <w:bookmarkStart w:id="10" w:name="_Toc213496267"/>
      <w:bookmarkStart w:id="11" w:name="_Toc213396759"/>
      <w:bookmarkStart w:id="12" w:name="_Toc308164780"/>
      <w:bookmarkStart w:id="13" w:name="_Toc183682339"/>
      <w:bookmarkStart w:id="14" w:name="_Toc183582202"/>
      <w:bookmarkStart w:id="15" w:name="_Toc77400776"/>
      <w:bookmarkStart w:id="16" w:name="_Toc89075871"/>
    </w:p>
    <w:p>
      <w:pPr>
        <w:spacing w:line="400" w:lineRule="exact"/>
        <w:ind w:left="105" w:leftChars="50" w:firstLine="422" w:firstLineChars="200"/>
        <w:contextualSpacing/>
        <w:rPr>
          <w:rFonts w:ascii="宋体" w:hAnsi="宋体"/>
          <w:b/>
          <w:szCs w:val="21"/>
        </w:rPr>
      </w:pPr>
    </w:p>
    <w:p>
      <w:pPr>
        <w:spacing w:line="400" w:lineRule="exact"/>
        <w:ind w:left="105" w:leftChars="50" w:firstLine="422" w:firstLineChars="200"/>
        <w:contextualSpacing/>
        <w:rPr>
          <w:rFonts w:ascii="宋体" w:hAnsi="宋体"/>
          <w:b/>
          <w:szCs w:val="21"/>
        </w:rPr>
      </w:pPr>
    </w:p>
    <w:p>
      <w:pPr>
        <w:spacing w:line="400" w:lineRule="exact"/>
        <w:ind w:left="105" w:leftChars="50" w:firstLine="422" w:firstLineChars="200"/>
        <w:contextualSpacing/>
        <w:rPr>
          <w:rFonts w:ascii="宋体" w:hAnsi="宋体"/>
          <w:b/>
          <w:szCs w:val="21"/>
        </w:rPr>
      </w:pPr>
    </w:p>
    <w:p>
      <w:pPr>
        <w:spacing w:line="400" w:lineRule="exact"/>
        <w:ind w:left="105" w:leftChars="50" w:firstLine="422" w:firstLineChars="200"/>
        <w:contextualSpacing/>
        <w:rPr>
          <w:rFonts w:ascii="宋体" w:hAnsi="宋体"/>
          <w:b/>
          <w:szCs w:val="21"/>
        </w:rPr>
      </w:pPr>
    </w:p>
    <w:p>
      <w:pPr>
        <w:spacing w:line="400" w:lineRule="exact"/>
        <w:ind w:left="105" w:leftChars="50" w:firstLine="422" w:firstLineChars="200"/>
        <w:contextualSpacing/>
        <w:rPr>
          <w:rFonts w:ascii="宋体" w:hAnsi="宋体"/>
          <w:b/>
          <w:szCs w:val="21"/>
        </w:rPr>
      </w:pPr>
    </w:p>
    <w:p>
      <w:pPr>
        <w:spacing w:line="400" w:lineRule="exact"/>
        <w:ind w:left="105" w:leftChars="50" w:firstLine="723" w:firstLineChars="200"/>
        <w:contextualSpacing/>
        <w:jc w:val="center"/>
        <w:rPr>
          <w:rFonts w:ascii="宋体" w:hAnsi="宋体"/>
          <w:b/>
          <w:sz w:val="36"/>
          <w:szCs w:val="36"/>
        </w:rPr>
      </w:pPr>
      <w:r>
        <w:rPr>
          <w:rFonts w:hint="eastAsia" w:ascii="宋体" w:hAnsi="宋体"/>
          <w:b/>
          <w:sz w:val="36"/>
          <w:szCs w:val="36"/>
        </w:rPr>
        <w:t>第二章  投标人须知</w:t>
      </w:r>
      <w:bookmarkEnd w:id="5"/>
      <w:bookmarkEnd w:id="6"/>
      <w:bookmarkEnd w:id="7"/>
      <w:bookmarkEnd w:id="8"/>
      <w:bookmarkEnd w:id="9"/>
      <w:bookmarkEnd w:id="10"/>
      <w:bookmarkEnd w:id="11"/>
      <w:bookmarkEnd w:id="12"/>
      <w:bookmarkStart w:id="17" w:name="_Toc217446032"/>
      <w:bookmarkStart w:id="18" w:name="_Toc184283909"/>
      <w:bookmarkStart w:id="19" w:name="_Toc213496268"/>
      <w:bookmarkStart w:id="20" w:name="_Toc189727030"/>
      <w:bookmarkStart w:id="21" w:name="_Toc308164781"/>
      <w:bookmarkStart w:id="22" w:name="_Toc184274915"/>
      <w:bookmarkStart w:id="23" w:name="_Toc213396946"/>
      <w:bookmarkStart w:id="24" w:name="_Toc213397010"/>
      <w:bookmarkStart w:id="25" w:name="_Toc213396760"/>
    </w:p>
    <w:p>
      <w:pPr>
        <w:spacing w:line="400" w:lineRule="exact"/>
        <w:ind w:left="105" w:leftChars="50" w:firstLine="482" w:firstLineChars="200"/>
        <w:contextualSpacing/>
        <w:jc w:val="center"/>
        <w:rPr>
          <w:rFonts w:ascii="宋体" w:hAnsi="宋体"/>
          <w:b/>
          <w:sz w:val="24"/>
          <w:szCs w:val="24"/>
        </w:rPr>
      </w:pPr>
    </w:p>
    <w:p>
      <w:pPr>
        <w:spacing w:line="400" w:lineRule="exact"/>
        <w:ind w:left="105" w:leftChars="50" w:firstLine="482" w:firstLineChars="200"/>
        <w:contextualSpacing/>
        <w:jc w:val="center"/>
        <w:rPr>
          <w:rFonts w:ascii="宋体" w:hAnsi="宋体"/>
          <w:b/>
          <w:sz w:val="24"/>
          <w:szCs w:val="24"/>
        </w:rPr>
      </w:pPr>
      <w:r>
        <w:rPr>
          <w:rFonts w:hint="eastAsia" w:ascii="宋体" w:hAnsi="宋体"/>
          <w:b/>
          <w:sz w:val="24"/>
          <w:szCs w:val="24"/>
        </w:rPr>
        <w:t>一、投标人须知前附表</w:t>
      </w:r>
      <w:bookmarkEnd w:id="17"/>
      <w:bookmarkEnd w:id="18"/>
      <w:bookmarkEnd w:id="19"/>
      <w:bookmarkEnd w:id="20"/>
      <w:bookmarkEnd w:id="21"/>
      <w:bookmarkEnd w:id="22"/>
      <w:bookmarkEnd w:id="23"/>
      <w:bookmarkEnd w:id="24"/>
      <w:bookmarkEnd w:id="25"/>
    </w:p>
    <w:p>
      <w:pPr>
        <w:spacing w:line="400" w:lineRule="exact"/>
        <w:ind w:left="105" w:leftChars="50" w:firstLine="482" w:firstLineChars="200"/>
        <w:contextualSpacing/>
        <w:jc w:val="center"/>
        <w:rPr>
          <w:rFonts w:ascii="宋体" w:hAnsi="宋体"/>
          <w:b/>
          <w:sz w:val="24"/>
          <w:szCs w:val="24"/>
        </w:rPr>
      </w:pPr>
    </w:p>
    <w:tbl>
      <w:tblPr>
        <w:tblStyle w:val="63"/>
        <w:tblW w:w="9912" w:type="dxa"/>
        <w:jc w:val="center"/>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0" w:type="dxa"/>
          <w:bottom w:w="0" w:type="dxa"/>
          <w:right w:w="0" w:type="dxa"/>
        </w:tblCellMar>
      </w:tblPr>
      <w:tblGrid>
        <w:gridCol w:w="1012"/>
        <w:gridCol w:w="2408"/>
        <w:gridCol w:w="6492"/>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0" w:type="dxa"/>
            <w:bottom w:w="0" w:type="dxa"/>
            <w:right w:w="0" w:type="dxa"/>
          </w:tblCellMar>
        </w:tblPrEx>
        <w:trPr>
          <w:trHeight w:val="510" w:hRule="exact"/>
          <w:tblHeader/>
          <w:jc w:val="center"/>
        </w:trPr>
        <w:tc>
          <w:tcPr>
            <w:tcW w:w="1012"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 xml:space="preserve">序号 </w:t>
            </w:r>
          </w:p>
        </w:tc>
        <w:tc>
          <w:tcPr>
            <w:tcW w:w="2408"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 xml:space="preserve">条款名称 </w:t>
            </w:r>
          </w:p>
        </w:tc>
        <w:tc>
          <w:tcPr>
            <w:tcW w:w="6492"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说明和要求</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0" w:type="dxa"/>
            <w:bottom w:w="0" w:type="dxa"/>
            <w:right w:w="0" w:type="dxa"/>
          </w:tblCellMar>
        </w:tblPrEx>
        <w:trPr>
          <w:trHeight w:val="595" w:hRule="exact"/>
          <w:jc w:val="center"/>
        </w:trPr>
        <w:tc>
          <w:tcPr>
            <w:tcW w:w="1012"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1</w:t>
            </w:r>
          </w:p>
        </w:tc>
        <w:tc>
          <w:tcPr>
            <w:tcW w:w="2408"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最高限价</w:t>
            </w:r>
          </w:p>
        </w:tc>
        <w:tc>
          <w:tcPr>
            <w:tcW w:w="6492" w:type="dxa"/>
            <w:vAlign w:val="center"/>
          </w:tcPr>
          <w:p>
            <w:pPr>
              <w:pStyle w:val="187"/>
              <w:snapToGrid w:val="0"/>
              <w:spacing w:line="276" w:lineRule="auto"/>
              <w:ind w:left="38" w:firstLine="105" w:firstLineChars="50"/>
              <w:jc w:val="both"/>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u w:val="single"/>
                <w:lang w:val="zh-CN"/>
              </w:rPr>
              <w:t>113700.00元(大写：壹拾壹万叁仟柒佰元整)</w:t>
            </w:r>
            <w:r>
              <w:rPr>
                <w:rFonts w:hint="eastAsia" w:cs="Times New Roman" w:asciiTheme="minorEastAsia" w:hAnsiTheme="minorEastAsia" w:eastAsiaTheme="minorEastAsia"/>
                <w:kern w:val="2"/>
                <w:sz w:val="21"/>
                <w:szCs w:val="21"/>
                <w:lang w:val="zh-CN"/>
              </w:rPr>
              <w:t>，</w:t>
            </w:r>
            <w:r>
              <w:rPr>
                <w:rFonts w:hint="eastAsia" w:cs="Times New Roman" w:asciiTheme="minorEastAsia" w:hAnsiTheme="minorEastAsia" w:eastAsiaTheme="minorEastAsia"/>
                <w:b/>
                <w:kern w:val="2"/>
                <w:sz w:val="21"/>
                <w:szCs w:val="21"/>
                <w:lang w:val="zh-CN"/>
              </w:rPr>
              <w:t>超过最高限价的投标文件无效</w:t>
            </w:r>
            <w:r>
              <w:rPr>
                <w:rFonts w:hint="eastAsia" w:cs="Times New Roman" w:asciiTheme="minorEastAsia" w:hAnsiTheme="minorEastAsia" w:eastAsiaTheme="minorEastAsia"/>
                <w:kern w:val="2"/>
                <w:sz w:val="21"/>
                <w:szCs w:val="21"/>
                <w:lang w:val="zh-CN"/>
              </w:rPr>
              <w:t>。</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0" w:type="dxa"/>
            <w:bottom w:w="0" w:type="dxa"/>
            <w:right w:w="0" w:type="dxa"/>
          </w:tblCellMar>
        </w:tblPrEx>
        <w:trPr>
          <w:trHeight w:val="526" w:hRule="exact"/>
          <w:jc w:val="center"/>
        </w:trPr>
        <w:tc>
          <w:tcPr>
            <w:tcW w:w="1012"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2</w:t>
            </w:r>
          </w:p>
        </w:tc>
        <w:tc>
          <w:tcPr>
            <w:tcW w:w="2408"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评标方法</w:t>
            </w:r>
          </w:p>
        </w:tc>
        <w:tc>
          <w:tcPr>
            <w:tcW w:w="6492" w:type="dxa"/>
            <w:vAlign w:val="center"/>
          </w:tcPr>
          <w:p>
            <w:pPr>
              <w:pStyle w:val="187"/>
              <w:snapToGrid w:val="0"/>
              <w:spacing w:line="276" w:lineRule="auto"/>
              <w:ind w:left="38" w:firstLine="105" w:firstLineChars="50"/>
              <w:jc w:val="both"/>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 xml:space="preserve">□综合评分法     </w:t>
            </w:r>
            <w:r>
              <w:rPr>
                <w:rFonts w:hint="eastAsia" w:eastAsia="MS Gothic" w:cs="MS Gothic" w:asciiTheme="minorEastAsia" w:hAnsiTheme="minorEastAsia"/>
                <w:sz w:val="21"/>
                <w:szCs w:val="21"/>
                <w:lang w:val="zh-CN"/>
              </w:rPr>
              <w:t>☑</w:t>
            </w:r>
            <w:r>
              <w:rPr>
                <w:rFonts w:hint="eastAsia" w:cs="Times New Roman" w:asciiTheme="minorEastAsia" w:hAnsiTheme="minorEastAsia" w:eastAsiaTheme="minorEastAsia"/>
                <w:kern w:val="2"/>
                <w:sz w:val="21"/>
                <w:szCs w:val="21"/>
                <w:lang w:val="zh-CN"/>
              </w:rPr>
              <w:t>最低评标价法     □性价比法</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0" w:type="dxa"/>
            <w:bottom w:w="0" w:type="dxa"/>
            <w:right w:w="0" w:type="dxa"/>
          </w:tblCellMar>
        </w:tblPrEx>
        <w:trPr>
          <w:trHeight w:val="422" w:hRule="atLeast"/>
          <w:jc w:val="center"/>
        </w:trPr>
        <w:tc>
          <w:tcPr>
            <w:tcW w:w="1012"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3</w:t>
            </w:r>
          </w:p>
        </w:tc>
        <w:tc>
          <w:tcPr>
            <w:tcW w:w="2408" w:type="dxa"/>
            <w:vAlign w:val="center"/>
          </w:tcPr>
          <w:p>
            <w:pPr>
              <w:topLinePunct/>
              <w:adjustRightInd w:val="0"/>
              <w:snapToGrid w:val="0"/>
              <w:spacing w:line="276" w:lineRule="auto"/>
              <w:ind w:left="38"/>
              <w:jc w:val="center"/>
              <w:rPr>
                <w:rFonts w:hint="eastAsia" w:asciiTheme="minorEastAsia" w:hAnsiTheme="minorEastAsia" w:eastAsiaTheme="minorEastAsia"/>
                <w:szCs w:val="21"/>
                <w:lang w:val="zh-CN"/>
              </w:rPr>
            </w:pPr>
            <w:r>
              <w:rPr>
                <w:rFonts w:hint="eastAsia" w:asciiTheme="minorEastAsia" w:hAnsiTheme="minorEastAsia" w:eastAsiaTheme="minorEastAsia"/>
                <w:szCs w:val="21"/>
                <w:lang w:val="zh-CN"/>
              </w:rPr>
              <w:t>是否接受联合体投标</w:t>
            </w:r>
          </w:p>
        </w:tc>
        <w:tc>
          <w:tcPr>
            <w:tcW w:w="6492" w:type="dxa"/>
            <w:vAlign w:val="center"/>
          </w:tcPr>
          <w:p>
            <w:pPr>
              <w:topLinePunct/>
              <w:adjustRightInd w:val="0"/>
              <w:snapToGrid w:val="0"/>
              <w:spacing w:line="276" w:lineRule="auto"/>
              <w:ind w:left="38" w:firstLine="210" w:firstLineChars="100"/>
              <w:rPr>
                <w:rFonts w:hint="eastAsia" w:asciiTheme="minorEastAsia" w:hAnsiTheme="minorEastAsia" w:eastAsiaTheme="minorEastAsia"/>
                <w:szCs w:val="21"/>
                <w:lang w:val="zh-CN"/>
              </w:rPr>
            </w:pPr>
            <w:r>
              <w:rPr>
                <w:rFonts w:hint="eastAsia" w:eastAsia="MS Gothic" w:cs="MS Gothic" w:asciiTheme="minorEastAsia" w:hAnsiTheme="minorEastAsia"/>
                <w:szCs w:val="21"/>
                <w:lang w:val="zh-CN"/>
              </w:rPr>
              <w:t>☑</w:t>
            </w:r>
            <w:r>
              <w:rPr>
                <w:rFonts w:hint="eastAsia" w:asciiTheme="minorEastAsia" w:hAnsiTheme="minorEastAsia" w:eastAsiaTheme="minorEastAsia"/>
                <w:szCs w:val="21"/>
                <w:lang w:val="zh-CN"/>
              </w:rPr>
              <w:t>不接受   □ 接受，应满足下列要求：</w:t>
            </w:r>
            <w:r>
              <w:rPr>
                <w:rFonts w:hint="eastAsia" w:asciiTheme="minorEastAsia" w:hAnsiTheme="minorEastAsia" w:eastAsiaTheme="minorEastAsia"/>
                <w:szCs w:val="21"/>
                <w:u w:val="single"/>
                <w:lang w:val="zh-CN"/>
              </w:rPr>
              <w:t xml:space="preserve">   /    </w:t>
            </w:r>
            <w:r>
              <w:rPr>
                <w:rFonts w:hint="eastAsia" w:asciiTheme="minorEastAsia" w:hAnsiTheme="minorEastAsia" w:eastAsiaTheme="minorEastAsia"/>
                <w:szCs w:val="21"/>
                <w:lang w:val="zh-CN"/>
              </w:rPr>
              <w:t xml:space="preserve"> 。</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0" w:type="dxa"/>
            <w:bottom w:w="0" w:type="dxa"/>
            <w:right w:w="0" w:type="dxa"/>
          </w:tblCellMar>
        </w:tblPrEx>
        <w:trPr>
          <w:trHeight w:val="454" w:hRule="exact"/>
          <w:jc w:val="center"/>
        </w:trPr>
        <w:tc>
          <w:tcPr>
            <w:tcW w:w="1012"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4</w:t>
            </w:r>
          </w:p>
        </w:tc>
        <w:tc>
          <w:tcPr>
            <w:tcW w:w="2408"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考察现场、标前答疑会</w:t>
            </w:r>
          </w:p>
        </w:tc>
        <w:tc>
          <w:tcPr>
            <w:tcW w:w="6492" w:type="dxa"/>
            <w:vAlign w:val="center"/>
          </w:tcPr>
          <w:p>
            <w:pPr>
              <w:pStyle w:val="187"/>
              <w:snapToGrid w:val="0"/>
              <w:spacing w:line="276" w:lineRule="auto"/>
              <w:ind w:left="38" w:firstLine="210" w:firstLineChars="100"/>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招标采购单位认为有必要，另行书面通知。</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0" w:type="dxa"/>
            <w:bottom w:w="0" w:type="dxa"/>
            <w:right w:w="0" w:type="dxa"/>
          </w:tblCellMar>
        </w:tblPrEx>
        <w:trPr>
          <w:trHeight w:val="504" w:hRule="exact"/>
          <w:jc w:val="center"/>
        </w:trPr>
        <w:tc>
          <w:tcPr>
            <w:tcW w:w="1012"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5</w:t>
            </w:r>
          </w:p>
        </w:tc>
        <w:tc>
          <w:tcPr>
            <w:tcW w:w="2408"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现场讲解/演示</w:t>
            </w:r>
          </w:p>
        </w:tc>
        <w:tc>
          <w:tcPr>
            <w:tcW w:w="6492" w:type="dxa"/>
            <w:vAlign w:val="center"/>
          </w:tcPr>
          <w:p>
            <w:pPr>
              <w:adjustRightInd w:val="0"/>
              <w:snapToGrid w:val="0"/>
              <w:spacing w:line="276" w:lineRule="auto"/>
              <w:ind w:left="38" w:right="31" w:rightChars="15" w:firstLine="105" w:firstLineChars="50"/>
              <w:rPr>
                <w:rFonts w:hint="eastAsia" w:asciiTheme="minorEastAsia" w:hAnsiTheme="minorEastAsia" w:eastAsiaTheme="minorEastAsia"/>
                <w:szCs w:val="21"/>
                <w:lang w:val="zh-CN"/>
              </w:rPr>
            </w:pPr>
            <w:r>
              <w:rPr>
                <w:rFonts w:hint="eastAsia" w:eastAsia="MS Gothic" w:cs="MS Gothic" w:asciiTheme="minorEastAsia" w:hAnsiTheme="minorEastAsia"/>
                <w:szCs w:val="21"/>
                <w:lang w:val="zh-CN"/>
              </w:rPr>
              <w:t>☑</w:t>
            </w:r>
            <w:r>
              <w:rPr>
                <w:rFonts w:hint="eastAsia" w:asciiTheme="minorEastAsia" w:hAnsiTheme="minorEastAsia" w:eastAsiaTheme="minorEastAsia"/>
                <w:szCs w:val="21"/>
                <w:lang w:val="zh-CN"/>
              </w:rPr>
              <w:t>无  □有，请投标人自行准备现场讲解/演示所需设施。</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0" w:type="dxa"/>
            <w:bottom w:w="0" w:type="dxa"/>
            <w:right w:w="0" w:type="dxa"/>
          </w:tblCellMar>
        </w:tblPrEx>
        <w:trPr>
          <w:trHeight w:val="619" w:hRule="atLeast"/>
          <w:jc w:val="center"/>
        </w:trPr>
        <w:tc>
          <w:tcPr>
            <w:tcW w:w="1012"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6</w:t>
            </w:r>
          </w:p>
        </w:tc>
        <w:tc>
          <w:tcPr>
            <w:tcW w:w="2408"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投标人对招标文件</w:t>
            </w:r>
          </w:p>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提出质疑的时间</w:t>
            </w:r>
          </w:p>
        </w:tc>
        <w:tc>
          <w:tcPr>
            <w:tcW w:w="6492" w:type="dxa"/>
            <w:vAlign w:val="center"/>
          </w:tcPr>
          <w:p>
            <w:pPr>
              <w:pStyle w:val="187"/>
              <w:snapToGrid w:val="0"/>
              <w:spacing w:line="276" w:lineRule="auto"/>
              <w:ind w:left="38" w:firstLine="210" w:firstLineChars="100"/>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自招标文件获取时间起1个工作日内。</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0" w:type="dxa"/>
            <w:bottom w:w="0" w:type="dxa"/>
            <w:right w:w="0" w:type="dxa"/>
          </w:tblCellMar>
        </w:tblPrEx>
        <w:trPr>
          <w:trHeight w:val="950" w:hRule="exact"/>
          <w:jc w:val="center"/>
        </w:trPr>
        <w:tc>
          <w:tcPr>
            <w:tcW w:w="1012"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7</w:t>
            </w:r>
          </w:p>
        </w:tc>
        <w:tc>
          <w:tcPr>
            <w:tcW w:w="2408"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构成招标文件的其他文件</w:t>
            </w:r>
          </w:p>
        </w:tc>
        <w:tc>
          <w:tcPr>
            <w:tcW w:w="6492" w:type="dxa"/>
            <w:vAlign w:val="center"/>
          </w:tcPr>
          <w:p>
            <w:pPr>
              <w:pStyle w:val="187"/>
              <w:snapToGrid w:val="0"/>
              <w:spacing w:line="276" w:lineRule="auto"/>
              <w:ind w:left="210" w:hanging="210" w:hangingChars="100"/>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 xml:space="preserve">  招标文件的澄清、修改书及有关补充通知为招标文件的有效组成部分。 </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0" w:type="dxa"/>
            <w:bottom w:w="0" w:type="dxa"/>
            <w:right w:w="0" w:type="dxa"/>
          </w:tblCellMar>
        </w:tblPrEx>
        <w:trPr>
          <w:trHeight w:val="511" w:hRule="exact"/>
          <w:jc w:val="center"/>
        </w:trPr>
        <w:tc>
          <w:tcPr>
            <w:tcW w:w="1012"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8</w:t>
            </w:r>
          </w:p>
        </w:tc>
        <w:tc>
          <w:tcPr>
            <w:tcW w:w="2408"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投标有效期</w:t>
            </w:r>
          </w:p>
        </w:tc>
        <w:tc>
          <w:tcPr>
            <w:tcW w:w="6492" w:type="dxa"/>
            <w:vAlign w:val="center"/>
          </w:tcPr>
          <w:p>
            <w:pPr>
              <w:pStyle w:val="187"/>
              <w:snapToGrid w:val="0"/>
              <w:spacing w:line="276" w:lineRule="auto"/>
              <w:ind w:left="38" w:firstLine="210" w:firstLineChars="100"/>
              <w:jc w:val="both"/>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开标后15天。</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0" w:type="dxa"/>
            <w:bottom w:w="0" w:type="dxa"/>
            <w:right w:w="0" w:type="dxa"/>
          </w:tblCellMar>
        </w:tblPrEx>
        <w:trPr>
          <w:trHeight w:val="40" w:hRule="atLeast"/>
          <w:jc w:val="center"/>
        </w:trPr>
        <w:tc>
          <w:tcPr>
            <w:tcW w:w="1012"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9</w:t>
            </w:r>
          </w:p>
        </w:tc>
        <w:tc>
          <w:tcPr>
            <w:tcW w:w="2408"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投标保证金缴纳及退还</w:t>
            </w:r>
          </w:p>
        </w:tc>
        <w:tc>
          <w:tcPr>
            <w:tcW w:w="6492" w:type="dxa"/>
            <w:vAlign w:val="center"/>
          </w:tcPr>
          <w:p>
            <w:pPr>
              <w:adjustRightInd w:val="0"/>
              <w:snapToGrid w:val="0"/>
              <w:spacing w:line="276" w:lineRule="auto"/>
              <w:ind w:left="38" w:firstLine="416" w:firstLineChars="198"/>
              <w:rPr>
                <w:rFonts w:hint="eastAsia" w:asciiTheme="minorEastAsia" w:hAnsiTheme="minorEastAsia" w:eastAsiaTheme="minorEastAsia"/>
                <w:szCs w:val="21"/>
                <w:lang w:val="zh-CN"/>
              </w:rPr>
            </w:pPr>
            <w:r>
              <w:rPr>
                <w:rFonts w:hint="eastAsia" w:asciiTheme="minorEastAsia" w:hAnsiTheme="minorEastAsia" w:eastAsiaTheme="minorEastAsia"/>
                <w:szCs w:val="21"/>
                <w:lang w:val="zh-CN"/>
              </w:rPr>
              <w:t>投标保证金：¥1000.00元（大写：壹仟元整）；投标保证金在开标现场以现金方式递交（现场经双方清点数量后，由投标单位自行密封并签字确认数量及真伪）。现场无息退还没有取得中标候选人资格的投标单位。中标供应商的投标保证金，将直接转为履约保证金，不足部分补齐。交款截止时间：开标会前。</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0" w:type="dxa"/>
            <w:bottom w:w="0" w:type="dxa"/>
            <w:right w:w="0" w:type="dxa"/>
          </w:tblCellMar>
        </w:tblPrEx>
        <w:trPr>
          <w:trHeight w:val="724" w:hRule="atLeast"/>
          <w:jc w:val="center"/>
        </w:trPr>
        <w:tc>
          <w:tcPr>
            <w:tcW w:w="1012"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10</w:t>
            </w:r>
          </w:p>
        </w:tc>
        <w:tc>
          <w:tcPr>
            <w:tcW w:w="2408"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投标文件份数及电子文档导入要求</w:t>
            </w:r>
          </w:p>
        </w:tc>
        <w:tc>
          <w:tcPr>
            <w:tcW w:w="6492" w:type="dxa"/>
            <w:vAlign w:val="center"/>
          </w:tcPr>
          <w:p>
            <w:pPr>
              <w:adjustRightInd w:val="0"/>
              <w:snapToGrid w:val="0"/>
              <w:spacing w:line="276" w:lineRule="auto"/>
              <w:ind w:left="38"/>
              <w:rPr>
                <w:rFonts w:hint="eastAsia" w:asciiTheme="minorEastAsia" w:hAnsiTheme="minorEastAsia" w:eastAsiaTheme="minorEastAsia"/>
                <w:szCs w:val="21"/>
                <w:lang w:val="zh-CN"/>
              </w:rPr>
            </w:pPr>
            <w:r>
              <w:rPr>
                <w:rFonts w:hint="eastAsia" w:asciiTheme="minorEastAsia" w:hAnsiTheme="minorEastAsia" w:eastAsiaTheme="minorEastAsia"/>
                <w:szCs w:val="21"/>
                <w:lang w:val="zh-CN"/>
              </w:rPr>
              <w:t>正本1份；副本2份；用于唱标的“开标一览表”一式一份</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0" w:type="dxa"/>
            <w:bottom w:w="0" w:type="dxa"/>
            <w:right w:w="0" w:type="dxa"/>
          </w:tblCellMar>
        </w:tblPrEx>
        <w:trPr>
          <w:trHeight w:val="2296" w:hRule="exact"/>
          <w:jc w:val="center"/>
        </w:trPr>
        <w:tc>
          <w:tcPr>
            <w:tcW w:w="1012"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11</w:t>
            </w:r>
          </w:p>
        </w:tc>
        <w:tc>
          <w:tcPr>
            <w:tcW w:w="2408" w:type="dxa"/>
            <w:vAlign w:val="center"/>
          </w:tcPr>
          <w:p>
            <w:pPr>
              <w:pStyle w:val="187"/>
              <w:snapToGrid w:val="0"/>
              <w:spacing w:line="276" w:lineRule="auto"/>
              <w:ind w:left="38" w:firstLine="105" w:firstLineChars="50"/>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履约保证金</w:t>
            </w:r>
          </w:p>
        </w:tc>
        <w:tc>
          <w:tcPr>
            <w:tcW w:w="6492" w:type="dxa"/>
            <w:vAlign w:val="center"/>
          </w:tcPr>
          <w:p>
            <w:pPr>
              <w:pStyle w:val="187"/>
              <w:snapToGrid w:val="0"/>
              <w:spacing w:line="276" w:lineRule="auto"/>
              <w:ind w:left="38" w:right="105" w:rightChars="50"/>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履约保证金人民币2000.00元（大写：贰仟元整）</w:t>
            </w:r>
          </w:p>
          <w:p>
            <w:pPr>
              <w:pStyle w:val="187"/>
              <w:snapToGrid w:val="0"/>
              <w:spacing w:line="276" w:lineRule="auto"/>
              <w:ind w:left="38" w:right="105" w:rightChars="50"/>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收款单位：采购人</w:t>
            </w:r>
          </w:p>
          <w:p>
            <w:pPr>
              <w:pStyle w:val="187"/>
              <w:snapToGrid w:val="0"/>
              <w:spacing w:line="276" w:lineRule="auto"/>
              <w:ind w:left="38" w:right="105" w:rightChars="50"/>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开 户 行：</w:t>
            </w:r>
          </w:p>
          <w:p>
            <w:pPr>
              <w:pStyle w:val="187"/>
              <w:snapToGrid w:val="0"/>
              <w:spacing w:line="276" w:lineRule="auto"/>
              <w:ind w:left="38" w:right="105" w:rightChars="50"/>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银行账号：</w:t>
            </w:r>
          </w:p>
          <w:p>
            <w:pPr>
              <w:pStyle w:val="187"/>
              <w:snapToGrid w:val="0"/>
              <w:spacing w:line="276" w:lineRule="auto"/>
              <w:ind w:left="38" w:right="105" w:rightChars="50"/>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交款时间：合同签订前。</w:t>
            </w:r>
          </w:p>
          <w:p>
            <w:pPr>
              <w:pStyle w:val="187"/>
              <w:snapToGrid w:val="0"/>
              <w:spacing w:line="276" w:lineRule="auto"/>
              <w:ind w:left="38"/>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合同履行完毕，项目验收合格后，中标人凭《达州职业技术学院履约验收报告》和《履约保证金收款收据》到采购人处退付交纳的履约保证金。</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0" w:type="dxa"/>
            <w:bottom w:w="0" w:type="dxa"/>
            <w:right w:w="0" w:type="dxa"/>
          </w:tblCellMar>
        </w:tblPrEx>
        <w:trPr>
          <w:trHeight w:val="509" w:hRule="atLeast"/>
          <w:jc w:val="center"/>
        </w:trPr>
        <w:tc>
          <w:tcPr>
            <w:tcW w:w="1012"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12</w:t>
            </w:r>
          </w:p>
        </w:tc>
        <w:tc>
          <w:tcPr>
            <w:tcW w:w="2408" w:type="dxa"/>
            <w:vAlign w:val="center"/>
          </w:tcPr>
          <w:p>
            <w:pPr>
              <w:pStyle w:val="187"/>
              <w:snapToGrid w:val="0"/>
              <w:spacing w:line="276" w:lineRule="auto"/>
              <w:ind w:left="388" w:leftChars="185" w:firstLine="315" w:firstLineChars="150"/>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合同分包</w:t>
            </w:r>
          </w:p>
        </w:tc>
        <w:tc>
          <w:tcPr>
            <w:tcW w:w="6492" w:type="dxa"/>
            <w:vAlign w:val="center"/>
          </w:tcPr>
          <w:p>
            <w:pPr>
              <w:pStyle w:val="187"/>
              <w:snapToGrid w:val="0"/>
              <w:spacing w:line="276" w:lineRule="auto"/>
              <w:ind w:left="105" w:leftChars="50" w:right="105" w:rightChars="50" w:firstLine="105" w:firstLineChars="50"/>
              <w:rPr>
                <w:rFonts w:hint="eastAsia" w:cs="Times New Roman" w:asciiTheme="minorEastAsia" w:hAnsiTheme="minorEastAsia" w:eastAsiaTheme="minorEastAsia"/>
                <w:kern w:val="2"/>
                <w:sz w:val="21"/>
                <w:szCs w:val="21"/>
                <w:lang w:val="zh-CN"/>
              </w:rPr>
            </w:pPr>
            <w:r>
              <w:rPr>
                <w:rFonts w:hint="eastAsia" w:eastAsia="MS Gothic" w:cs="MS Gothic" w:asciiTheme="minorEastAsia" w:hAnsiTheme="minorEastAsia"/>
                <w:kern w:val="2"/>
                <w:sz w:val="21"/>
                <w:szCs w:val="21"/>
                <w:lang w:val="zh-CN"/>
              </w:rPr>
              <w:t>☑</w:t>
            </w:r>
            <w:r>
              <w:rPr>
                <w:rFonts w:hint="eastAsia" w:cs="仿宋_GB2312" w:asciiTheme="minorEastAsia" w:hAnsiTheme="minorEastAsia" w:eastAsiaTheme="minorEastAsia"/>
                <w:kern w:val="2"/>
                <w:sz w:val="21"/>
                <w:szCs w:val="21"/>
                <w:lang w:val="zh-CN"/>
              </w:rPr>
              <w:t>不允许</w:t>
            </w:r>
            <w:r>
              <w:rPr>
                <w:rFonts w:hint="eastAsia" w:cs="Times New Roman" w:asciiTheme="minorEastAsia" w:hAnsiTheme="minorEastAsia" w:eastAsiaTheme="minorEastAsia"/>
                <w:kern w:val="2"/>
                <w:sz w:val="21"/>
                <w:szCs w:val="21"/>
                <w:lang w:val="zh-CN"/>
              </w:rPr>
              <w:t xml:space="preserve">      □允许  </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0" w:type="dxa"/>
            <w:bottom w:w="0" w:type="dxa"/>
            <w:right w:w="0" w:type="dxa"/>
          </w:tblCellMar>
        </w:tblPrEx>
        <w:trPr>
          <w:trHeight w:val="1002" w:hRule="atLeast"/>
          <w:jc w:val="center"/>
        </w:trPr>
        <w:tc>
          <w:tcPr>
            <w:tcW w:w="1012"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13</w:t>
            </w:r>
          </w:p>
        </w:tc>
        <w:tc>
          <w:tcPr>
            <w:tcW w:w="2408" w:type="dxa"/>
            <w:vAlign w:val="center"/>
          </w:tcPr>
          <w:p>
            <w:pPr>
              <w:pStyle w:val="187"/>
              <w:snapToGrid w:val="0"/>
              <w:spacing w:line="276" w:lineRule="auto"/>
              <w:ind w:left="388" w:leftChars="185"/>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采购文件的解释</w:t>
            </w:r>
          </w:p>
        </w:tc>
        <w:tc>
          <w:tcPr>
            <w:tcW w:w="6492" w:type="dxa"/>
            <w:vAlign w:val="center"/>
          </w:tcPr>
          <w:p>
            <w:pPr>
              <w:pStyle w:val="187"/>
              <w:snapToGrid w:val="0"/>
              <w:spacing w:line="276" w:lineRule="auto"/>
              <w:ind w:left="105" w:leftChars="50" w:right="105" w:rightChars="50"/>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本招标文件的最终解释权由招标采购单位享有。招标文件中供应商参加本次采购活动应当具备的条件和招标项目技术、商务及其他要求，以及评标细则、标准，由采购人负责解释。</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0" w:type="dxa"/>
            <w:bottom w:w="0" w:type="dxa"/>
            <w:right w:w="0" w:type="dxa"/>
          </w:tblCellMar>
        </w:tblPrEx>
        <w:trPr>
          <w:trHeight w:val="995" w:hRule="atLeast"/>
          <w:jc w:val="center"/>
        </w:trPr>
        <w:tc>
          <w:tcPr>
            <w:tcW w:w="1012"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14</w:t>
            </w:r>
          </w:p>
        </w:tc>
        <w:tc>
          <w:tcPr>
            <w:tcW w:w="2408" w:type="dxa"/>
            <w:vAlign w:val="center"/>
          </w:tcPr>
          <w:p>
            <w:pPr>
              <w:pStyle w:val="187"/>
              <w:snapToGrid w:val="0"/>
              <w:spacing w:line="276" w:lineRule="auto"/>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供应商询问、质疑的对象</w:t>
            </w:r>
          </w:p>
        </w:tc>
        <w:tc>
          <w:tcPr>
            <w:tcW w:w="6492" w:type="dxa"/>
            <w:vAlign w:val="center"/>
          </w:tcPr>
          <w:p>
            <w:pPr>
              <w:pStyle w:val="31"/>
              <w:tabs>
                <w:tab w:val="left" w:pos="1134"/>
                <w:tab w:val="left" w:pos="1276"/>
              </w:tabs>
              <w:adjustRightInd w:val="0"/>
              <w:snapToGrid w:val="0"/>
              <w:spacing w:line="276" w:lineRule="auto"/>
              <w:ind w:left="38"/>
              <w:rPr>
                <w:rFonts w:hint="eastAsia" w:asciiTheme="minorEastAsia" w:hAnsiTheme="minorEastAsia" w:eastAsiaTheme="minorEastAsia"/>
                <w:sz w:val="21"/>
                <w:szCs w:val="21"/>
                <w:lang w:val="zh-CN"/>
              </w:rPr>
            </w:pPr>
            <w:r>
              <w:rPr>
                <w:rFonts w:hint="eastAsia" w:asciiTheme="minorEastAsia" w:hAnsiTheme="minorEastAsia" w:eastAsiaTheme="minorEastAsia"/>
                <w:sz w:val="21"/>
                <w:szCs w:val="21"/>
                <w:lang w:val="zh-CN"/>
              </w:rPr>
              <w:t>供应商对招标文件中供应商参加本次采购活动应当具备的条件和招标项目技术、商务及其他要求，以及评标细则、标准，提出询问或质疑的，应向采购人提出。</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0" w:type="dxa"/>
            <w:bottom w:w="0" w:type="dxa"/>
            <w:right w:w="0" w:type="dxa"/>
          </w:tblCellMar>
        </w:tblPrEx>
        <w:trPr>
          <w:trHeight w:val="753" w:hRule="atLeast"/>
          <w:jc w:val="center"/>
        </w:trPr>
        <w:tc>
          <w:tcPr>
            <w:tcW w:w="1012"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15</w:t>
            </w:r>
          </w:p>
        </w:tc>
        <w:tc>
          <w:tcPr>
            <w:tcW w:w="2408" w:type="dxa"/>
            <w:vAlign w:val="center"/>
          </w:tcPr>
          <w:p>
            <w:pPr>
              <w:pStyle w:val="187"/>
              <w:snapToGrid w:val="0"/>
              <w:spacing w:line="276" w:lineRule="auto"/>
              <w:ind w:left="388" w:leftChars="185"/>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投标文件的递交</w:t>
            </w:r>
          </w:p>
        </w:tc>
        <w:tc>
          <w:tcPr>
            <w:tcW w:w="6492" w:type="dxa"/>
            <w:vAlign w:val="center"/>
          </w:tcPr>
          <w:p>
            <w:pPr>
              <w:pStyle w:val="31"/>
              <w:tabs>
                <w:tab w:val="left" w:pos="1134"/>
                <w:tab w:val="left" w:pos="1276"/>
              </w:tabs>
              <w:adjustRightInd w:val="0"/>
              <w:snapToGrid w:val="0"/>
              <w:spacing w:line="276" w:lineRule="auto"/>
              <w:ind w:left="38"/>
              <w:rPr>
                <w:rFonts w:hint="eastAsia" w:asciiTheme="minorEastAsia" w:hAnsiTheme="minorEastAsia" w:eastAsiaTheme="minorEastAsia"/>
                <w:sz w:val="21"/>
                <w:szCs w:val="21"/>
                <w:lang w:val="zh-CN"/>
              </w:rPr>
            </w:pPr>
            <w:r>
              <w:rPr>
                <w:rFonts w:hint="eastAsia" w:asciiTheme="minorEastAsia" w:hAnsiTheme="minorEastAsia" w:eastAsiaTheme="minorEastAsia"/>
                <w:sz w:val="21"/>
                <w:szCs w:val="21"/>
                <w:lang w:val="zh-CN"/>
              </w:rPr>
              <w:t>在规定时间内递交到达州职业技术学院监审处（达州市通川区北外徐家坝路448号）；联系人：何老师；联系电话：0818-2309348、13079011808、13551466195</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0" w:type="dxa"/>
            <w:bottom w:w="0" w:type="dxa"/>
            <w:right w:w="0" w:type="dxa"/>
          </w:tblCellMar>
        </w:tblPrEx>
        <w:trPr>
          <w:trHeight w:val="555" w:hRule="atLeast"/>
          <w:jc w:val="center"/>
        </w:trPr>
        <w:tc>
          <w:tcPr>
            <w:tcW w:w="1012" w:type="dxa"/>
            <w:vAlign w:val="center"/>
          </w:tcPr>
          <w:p>
            <w:pPr>
              <w:pStyle w:val="187"/>
              <w:snapToGrid w:val="0"/>
              <w:spacing w:line="276" w:lineRule="auto"/>
              <w:ind w:left="38"/>
              <w:jc w:val="center"/>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16</w:t>
            </w:r>
          </w:p>
        </w:tc>
        <w:tc>
          <w:tcPr>
            <w:tcW w:w="2408" w:type="dxa"/>
            <w:vAlign w:val="center"/>
          </w:tcPr>
          <w:p>
            <w:pPr>
              <w:pStyle w:val="187"/>
              <w:snapToGrid w:val="0"/>
              <w:spacing w:line="276" w:lineRule="auto"/>
              <w:ind w:left="388" w:leftChars="185"/>
              <w:rPr>
                <w:rFonts w:hint="eastAsia" w:cs="Times New Roman" w:asciiTheme="minorEastAsia" w:hAnsiTheme="minorEastAsia" w:eastAsiaTheme="minorEastAsia"/>
                <w:kern w:val="2"/>
                <w:sz w:val="21"/>
                <w:szCs w:val="21"/>
                <w:lang w:val="zh-CN"/>
              </w:rPr>
            </w:pPr>
            <w:r>
              <w:rPr>
                <w:rFonts w:hint="eastAsia" w:cs="Times New Roman" w:asciiTheme="minorEastAsia" w:hAnsiTheme="minorEastAsia" w:eastAsiaTheme="minorEastAsia"/>
                <w:kern w:val="2"/>
                <w:sz w:val="21"/>
                <w:szCs w:val="21"/>
                <w:lang w:val="zh-CN"/>
              </w:rPr>
              <w:t>开评标工作咨询</w:t>
            </w:r>
          </w:p>
        </w:tc>
        <w:tc>
          <w:tcPr>
            <w:tcW w:w="6492" w:type="dxa"/>
            <w:vAlign w:val="center"/>
          </w:tcPr>
          <w:p>
            <w:pPr>
              <w:adjustRightInd w:val="0"/>
              <w:snapToGrid w:val="0"/>
              <w:spacing w:line="276" w:lineRule="auto"/>
              <w:ind w:left="38" w:right="105" w:rightChars="50" w:firstLine="210" w:firstLineChars="100"/>
              <w:rPr>
                <w:rFonts w:hint="eastAsia" w:asciiTheme="minorEastAsia" w:hAnsiTheme="minorEastAsia" w:eastAsiaTheme="minorEastAsia"/>
                <w:szCs w:val="21"/>
                <w:lang w:val="zh-CN"/>
              </w:rPr>
            </w:pPr>
            <w:r>
              <w:rPr>
                <w:rFonts w:hint="eastAsia" w:asciiTheme="minorEastAsia" w:hAnsiTheme="minorEastAsia" w:eastAsiaTheme="minorEastAsia"/>
                <w:szCs w:val="21"/>
                <w:lang w:val="zh-CN"/>
              </w:rPr>
              <w:t>电话：0818--2309368</w:t>
            </w:r>
          </w:p>
        </w:tc>
      </w:tr>
    </w:tbl>
    <w:p>
      <w:pPr>
        <w:pStyle w:val="4"/>
        <w:spacing w:line="400" w:lineRule="exact"/>
        <w:ind w:firstLine="0"/>
        <w:rPr>
          <w:szCs w:val="21"/>
        </w:rPr>
      </w:pPr>
    </w:p>
    <w:bookmarkEnd w:id="13"/>
    <w:bookmarkEnd w:id="14"/>
    <w:bookmarkEnd w:id="15"/>
    <w:bookmarkEnd w:id="16"/>
    <w:p>
      <w:pPr>
        <w:spacing w:line="400" w:lineRule="exact"/>
        <w:ind w:left="105" w:leftChars="50" w:firstLine="562" w:firstLineChars="200"/>
        <w:contextualSpacing/>
        <w:jc w:val="center"/>
        <w:rPr>
          <w:rFonts w:ascii="宋体" w:hAnsi="宋体"/>
          <w:b/>
          <w:sz w:val="28"/>
          <w:szCs w:val="28"/>
        </w:rPr>
      </w:pPr>
      <w:bookmarkStart w:id="26" w:name="_Toc89075873"/>
      <w:bookmarkStart w:id="27" w:name="_Toc183582204"/>
      <w:bookmarkStart w:id="28" w:name="_Toc308164782"/>
      <w:bookmarkStart w:id="29" w:name="_Toc77400778"/>
      <w:bookmarkStart w:id="30" w:name="_Toc217446033"/>
      <w:bookmarkStart w:id="31" w:name="_Toc183682341"/>
      <w:bookmarkStart w:id="32" w:name="_Toc217446081"/>
      <w:r>
        <w:rPr>
          <w:rFonts w:hint="eastAsia" w:ascii="宋体" w:hAnsi="宋体"/>
          <w:b/>
          <w:sz w:val="28"/>
          <w:szCs w:val="28"/>
        </w:rPr>
        <w:t>二、总  则</w:t>
      </w:r>
      <w:bookmarkEnd w:id="26"/>
      <w:bookmarkEnd w:id="27"/>
      <w:bookmarkEnd w:id="28"/>
      <w:bookmarkEnd w:id="29"/>
      <w:bookmarkEnd w:id="30"/>
      <w:bookmarkEnd w:id="31"/>
    </w:p>
    <w:p>
      <w:pPr>
        <w:spacing w:line="400" w:lineRule="exact"/>
        <w:ind w:firstLine="517" w:firstLineChars="245"/>
        <w:rPr>
          <w:rFonts w:ascii="宋体" w:hAnsi="宋体"/>
          <w:b/>
          <w:szCs w:val="21"/>
        </w:rPr>
      </w:pPr>
      <w:bookmarkStart w:id="33" w:name="_Toc183682342"/>
      <w:bookmarkStart w:id="34" w:name="_Toc183582205"/>
      <w:bookmarkStart w:id="35" w:name="_Toc217446034"/>
      <w:bookmarkStart w:id="36" w:name="_Toc308164783"/>
      <w:r>
        <w:rPr>
          <w:rFonts w:hint="eastAsia" w:ascii="宋体" w:hAnsi="宋体"/>
          <w:b/>
          <w:szCs w:val="21"/>
        </w:rPr>
        <w:t>1.</w:t>
      </w:r>
      <w:bookmarkEnd w:id="33"/>
      <w:bookmarkEnd w:id="34"/>
      <w:r>
        <w:rPr>
          <w:rFonts w:hint="eastAsia" w:ascii="宋体" w:hAnsi="宋体"/>
          <w:b/>
          <w:szCs w:val="21"/>
        </w:rPr>
        <w:t xml:space="preserve"> 适用范围</w:t>
      </w:r>
      <w:bookmarkEnd w:id="35"/>
      <w:bookmarkEnd w:id="36"/>
    </w:p>
    <w:p>
      <w:pPr>
        <w:tabs>
          <w:tab w:val="left" w:pos="7665"/>
        </w:tabs>
        <w:spacing w:line="400" w:lineRule="exact"/>
        <w:ind w:firstLine="525" w:firstLineChars="250"/>
        <w:rPr>
          <w:rFonts w:ascii="宋体" w:hAnsi="宋体"/>
          <w:szCs w:val="21"/>
        </w:rPr>
      </w:pPr>
      <w:r>
        <w:rPr>
          <w:rFonts w:hint="eastAsia" w:ascii="宋体" w:hAnsi="宋体"/>
          <w:szCs w:val="21"/>
        </w:rPr>
        <w:t>1.1 本招标文件仅适用于本次公开招标所叙述的货物和服务项目采购。</w:t>
      </w:r>
    </w:p>
    <w:p>
      <w:pPr>
        <w:spacing w:line="400" w:lineRule="exact"/>
        <w:ind w:firstLine="517" w:firstLineChars="245"/>
        <w:rPr>
          <w:rFonts w:ascii="宋体" w:hAnsi="宋体"/>
          <w:b/>
          <w:szCs w:val="21"/>
        </w:rPr>
      </w:pPr>
      <w:bookmarkStart w:id="37" w:name="_Toc183582206"/>
      <w:bookmarkStart w:id="38" w:name="_Toc183682343"/>
      <w:bookmarkStart w:id="39" w:name="_Toc308164784"/>
      <w:bookmarkStart w:id="40" w:name="_Toc217446035"/>
      <w:r>
        <w:rPr>
          <w:rFonts w:hint="eastAsia" w:ascii="宋体" w:hAnsi="宋体"/>
          <w:b/>
          <w:szCs w:val="21"/>
        </w:rPr>
        <w:t xml:space="preserve">2. </w:t>
      </w:r>
      <w:bookmarkEnd w:id="37"/>
      <w:bookmarkEnd w:id="38"/>
      <w:r>
        <w:rPr>
          <w:rFonts w:hint="eastAsia" w:ascii="宋体" w:hAnsi="宋体"/>
          <w:b/>
          <w:szCs w:val="21"/>
        </w:rPr>
        <w:t>有关定义</w:t>
      </w:r>
      <w:bookmarkEnd w:id="39"/>
      <w:bookmarkEnd w:id="40"/>
    </w:p>
    <w:p>
      <w:pPr>
        <w:tabs>
          <w:tab w:val="left" w:pos="7665"/>
        </w:tabs>
        <w:spacing w:line="400" w:lineRule="exact"/>
        <w:ind w:left="105" w:leftChars="50" w:firstLine="420" w:firstLineChars="200"/>
        <w:contextualSpacing/>
        <w:rPr>
          <w:rFonts w:ascii="宋体" w:hAnsi="宋体"/>
          <w:szCs w:val="21"/>
        </w:rPr>
      </w:pPr>
      <w:r>
        <w:rPr>
          <w:rFonts w:hint="eastAsia" w:ascii="宋体" w:hAnsi="宋体"/>
          <w:szCs w:val="21"/>
        </w:rPr>
        <w:t>2.1 “采购人”系指依法进行采购的国家机关、事业单位、团体组织。本次招标的采购人是</w:t>
      </w:r>
      <w:r>
        <w:rPr>
          <w:rFonts w:hint="eastAsia" w:ascii="宋体" w:hAnsi="宋体" w:cs="宋体"/>
          <w:kern w:val="0"/>
          <w:szCs w:val="21"/>
          <w:u w:val="single"/>
        </w:rPr>
        <w:t>达州职业技术学院</w:t>
      </w:r>
      <w:r>
        <w:rPr>
          <w:rFonts w:hint="eastAsia" w:ascii="宋体" w:hAnsi="宋体" w:cs="宋体"/>
          <w:kern w:val="0"/>
          <w:szCs w:val="21"/>
        </w:rPr>
        <w:t>。</w:t>
      </w:r>
    </w:p>
    <w:p>
      <w:pPr>
        <w:tabs>
          <w:tab w:val="left" w:pos="7665"/>
        </w:tabs>
        <w:spacing w:line="400" w:lineRule="exact"/>
        <w:ind w:left="105" w:leftChars="50" w:firstLine="420" w:firstLineChars="200"/>
        <w:contextualSpacing/>
        <w:rPr>
          <w:rFonts w:ascii="宋体" w:hAnsi="宋体"/>
          <w:szCs w:val="21"/>
        </w:rPr>
      </w:pPr>
      <w:r>
        <w:rPr>
          <w:rFonts w:hint="eastAsia" w:ascii="宋体" w:hAnsi="宋体"/>
          <w:szCs w:val="21"/>
        </w:rPr>
        <w:t>2.2 “招标采购单位”系指“采购人”。</w:t>
      </w:r>
    </w:p>
    <w:p>
      <w:pPr>
        <w:tabs>
          <w:tab w:val="left" w:pos="7665"/>
        </w:tabs>
        <w:spacing w:line="400" w:lineRule="exact"/>
        <w:ind w:left="105" w:leftChars="50" w:firstLine="420" w:firstLineChars="200"/>
        <w:contextualSpacing/>
        <w:rPr>
          <w:rFonts w:ascii="宋体" w:hAnsi="宋体"/>
          <w:szCs w:val="21"/>
        </w:rPr>
      </w:pPr>
      <w:r>
        <w:rPr>
          <w:rFonts w:hint="eastAsia" w:ascii="宋体" w:hAnsi="宋体"/>
          <w:szCs w:val="21"/>
        </w:rPr>
        <w:t>2.3 “投标人”系指购买了招标文件拟参加投标和向采购人提供货物及相应服务的供应商。</w:t>
      </w:r>
    </w:p>
    <w:p>
      <w:pPr>
        <w:spacing w:line="400" w:lineRule="exact"/>
        <w:ind w:left="105" w:leftChars="50" w:firstLine="422" w:firstLineChars="200"/>
        <w:contextualSpacing/>
        <w:rPr>
          <w:rFonts w:ascii="宋体" w:hAnsi="宋体"/>
          <w:b/>
          <w:szCs w:val="21"/>
        </w:rPr>
      </w:pPr>
      <w:bookmarkStart w:id="41" w:name="_Toc183582207"/>
      <w:bookmarkStart w:id="42" w:name="_Toc217446036"/>
      <w:bookmarkStart w:id="43" w:name="_Toc308164785"/>
      <w:bookmarkStart w:id="44" w:name="_Toc217390843"/>
      <w:bookmarkStart w:id="45" w:name="_Toc183682344"/>
      <w:r>
        <w:rPr>
          <w:rFonts w:hint="eastAsia" w:ascii="宋体" w:hAnsi="宋体"/>
          <w:b/>
          <w:szCs w:val="21"/>
        </w:rPr>
        <w:t>3. 合格的投标人</w:t>
      </w:r>
      <w:bookmarkEnd w:id="41"/>
      <w:bookmarkEnd w:id="42"/>
      <w:bookmarkEnd w:id="43"/>
      <w:bookmarkEnd w:id="44"/>
      <w:bookmarkEnd w:id="45"/>
    </w:p>
    <w:p>
      <w:pPr>
        <w:tabs>
          <w:tab w:val="left" w:pos="7665"/>
        </w:tabs>
        <w:spacing w:line="400" w:lineRule="exact"/>
        <w:ind w:left="105" w:leftChars="50"/>
        <w:contextualSpacing/>
        <w:rPr>
          <w:rFonts w:ascii="宋体" w:hAnsi="宋体"/>
          <w:szCs w:val="21"/>
        </w:rPr>
      </w:pPr>
      <w:r>
        <w:rPr>
          <w:rFonts w:hint="eastAsia" w:ascii="宋体" w:hAnsi="宋体"/>
          <w:szCs w:val="21"/>
        </w:rPr>
        <w:t>合格的投标人应具备以下条件：</w:t>
      </w:r>
    </w:p>
    <w:p>
      <w:pPr>
        <w:tabs>
          <w:tab w:val="left" w:pos="7665"/>
        </w:tabs>
        <w:spacing w:line="400" w:lineRule="exact"/>
        <w:ind w:firstLine="420" w:firstLineChars="200"/>
        <w:rPr>
          <w:rFonts w:ascii="宋体" w:hAnsi="宋体"/>
          <w:spacing w:val="-4"/>
          <w:szCs w:val="21"/>
        </w:rPr>
      </w:pPr>
      <w:r>
        <w:rPr>
          <w:rFonts w:hint="eastAsia" w:ascii="宋体" w:hAnsi="宋体"/>
          <w:szCs w:val="21"/>
        </w:rPr>
        <w:t>（1）具备“投标邀请”第五条的基本条件</w:t>
      </w:r>
      <w:r>
        <w:rPr>
          <w:rFonts w:hint="eastAsia" w:ascii="宋体" w:hAnsi="宋体"/>
          <w:spacing w:val="-4"/>
          <w:szCs w:val="21"/>
        </w:rPr>
        <w:t>；</w:t>
      </w:r>
    </w:p>
    <w:p>
      <w:pPr>
        <w:tabs>
          <w:tab w:val="left" w:pos="7665"/>
        </w:tabs>
        <w:spacing w:line="400" w:lineRule="exact"/>
        <w:ind w:left="105" w:leftChars="50"/>
        <w:contextualSpacing/>
        <w:rPr>
          <w:rFonts w:ascii="宋体" w:hAnsi="宋体"/>
          <w:szCs w:val="21"/>
        </w:rPr>
      </w:pPr>
      <w:r>
        <w:rPr>
          <w:rFonts w:hint="eastAsia" w:ascii="宋体" w:hAnsi="宋体"/>
          <w:szCs w:val="21"/>
        </w:rPr>
        <w:t xml:space="preserve">   （2）向</w:t>
      </w:r>
      <w:r>
        <w:rPr>
          <w:rFonts w:hint="eastAsia" w:ascii="宋体" w:hAnsi="宋体"/>
          <w:szCs w:val="21"/>
          <w:u w:val="single"/>
        </w:rPr>
        <w:t>达州职业技术学院工会</w:t>
      </w:r>
      <w:r>
        <w:rPr>
          <w:rFonts w:hint="eastAsia" w:ascii="宋体" w:hAnsi="宋体"/>
          <w:szCs w:val="21"/>
        </w:rPr>
        <w:t>购买了招标文件并登记备案；</w:t>
      </w:r>
    </w:p>
    <w:p>
      <w:pPr>
        <w:tabs>
          <w:tab w:val="left" w:pos="7665"/>
        </w:tabs>
        <w:spacing w:line="400" w:lineRule="exact"/>
        <w:ind w:firstLine="420" w:firstLineChars="200"/>
        <w:rPr>
          <w:rFonts w:ascii="宋体" w:hAnsi="宋体"/>
          <w:szCs w:val="21"/>
        </w:rPr>
      </w:pPr>
      <w:r>
        <w:rPr>
          <w:rFonts w:hint="eastAsia" w:ascii="宋体" w:hAnsi="宋体"/>
          <w:szCs w:val="21"/>
        </w:rPr>
        <w:t>（3）遵守国家有关的法律、法规和条例；</w:t>
      </w:r>
    </w:p>
    <w:p>
      <w:pPr>
        <w:tabs>
          <w:tab w:val="left" w:pos="7665"/>
        </w:tabs>
        <w:spacing w:line="400" w:lineRule="exact"/>
        <w:ind w:firstLine="420" w:firstLineChars="200"/>
        <w:rPr>
          <w:rFonts w:ascii="宋体" w:hAnsi="宋体"/>
          <w:szCs w:val="21"/>
        </w:rPr>
      </w:pPr>
      <w:r>
        <w:rPr>
          <w:rFonts w:hint="eastAsia" w:ascii="宋体" w:hAnsi="宋体"/>
          <w:szCs w:val="21"/>
        </w:rPr>
        <w:t>（4）招标文件和法律、行政法规规定的其他条件。</w:t>
      </w:r>
    </w:p>
    <w:p>
      <w:pPr>
        <w:spacing w:line="400" w:lineRule="exact"/>
        <w:ind w:left="105" w:leftChars="50" w:firstLine="422" w:firstLineChars="200"/>
        <w:contextualSpacing/>
        <w:rPr>
          <w:rFonts w:ascii="宋体" w:hAnsi="宋体"/>
          <w:b/>
          <w:szCs w:val="21"/>
        </w:rPr>
      </w:pPr>
      <w:bookmarkStart w:id="46" w:name="_Toc308164786"/>
      <w:bookmarkStart w:id="47" w:name="_Toc183682345"/>
      <w:bookmarkStart w:id="48" w:name="_Toc183582208"/>
      <w:bookmarkStart w:id="49" w:name="_Toc217446037"/>
      <w:r>
        <w:rPr>
          <w:rFonts w:hint="eastAsia" w:ascii="宋体" w:hAnsi="宋体"/>
          <w:b/>
          <w:szCs w:val="21"/>
        </w:rPr>
        <w:t>4. 合格的投标产品</w:t>
      </w:r>
      <w:bookmarkEnd w:id="46"/>
    </w:p>
    <w:p>
      <w:pPr>
        <w:tabs>
          <w:tab w:val="left" w:pos="7665"/>
        </w:tabs>
        <w:spacing w:line="400" w:lineRule="exact"/>
        <w:ind w:left="105" w:leftChars="50" w:firstLine="420" w:firstLineChars="200"/>
        <w:contextualSpacing/>
        <w:rPr>
          <w:rFonts w:ascii="宋体" w:hAnsi="宋体"/>
          <w:szCs w:val="21"/>
        </w:rPr>
      </w:pPr>
      <w:r>
        <w:rPr>
          <w:rFonts w:hint="eastAsia" w:ascii="宋体" w:hAnsi="宋体"/>
          <w:szCs w:val="21"/>
        </w:rPr>
        <w:t>参加本次采购所投标的产品，必须是合法生产厂家生产的符合国家相关规定及行业标准的合格产品。</w:t>
      </w:r>
    </w:p>
    <w:p>
      <w:pPr>
        <w:spacing w:line="400" w:lineRule="exact"/>
        <w:ind w:left="105" w:leftChars="50" w:firstLine="422" w:firstLineChars="200"/>
        <w:contextualSpacing/>
        <w:rPr>
          <w:rFonts w:ascii="宋体" w:hAnsi="宋体"/>
          <w:b/>
          <w:szCs w:val="21"/>
        </w:rPr>
      </w:pPr>
      <w:bookmarkStart w:id="50" w:name="_Toc308164787"/>
      <w:r>
        <w:rPr>
          <w:rFonts w:hint="eastAsia" w:ascii="宋体" w:hAnsi="宋体"/>
          <w:b/>
          <w:szCs w:val="21"/>
        </w:rPr>
        <w:t>5. 投标费用</w:t>
      </w:r>
      <w:bookmarkEnd w:id="47"/>
      <w:bookmarkEnd w:id="48"/>
      <w:bookmarkEnd w:id="49"/>
      <w:bookmarkEnd w:id="50"/>
    </w:p>
    <w:p>
      <w:pPr>
        <w:tabs>
          <w:tab w:val="left" w:pos="7665"/>
        </w:tabs>
        <w:spacing w:line="400" w:lineRule="exact"/>
        <w:ind w:firstLine="525" w:firstLineChars="250"/>
        <w:rPr>
          <w:rFonts w:ascii="宋体" w:hAnsi="宋体"/>
          <w:szCs w:val="21"/>
        </w:rPr>
      </w:pPr>
      <w:r>
        <w:rPr>
          <w:rFonts w:hint="eastAsia" w:ascii="宋体" w:hAnsi="宋体"/>
          <w:szCs w:val="21"/>
        </w:rPr>
        <w:t>投标人参加投标的有关费用由投标人自行承担。</w:t>
      </w:r>
    </w:p>
    <w:p>
      <w:pPr>
        <w:spacing w:line="400" w:lineRule="exact"/>
        <w:ind w:left="105" w:leftChars="50" w:firstLine="422" w:firstLineChars="200"/>
        <w:contextualSpacing/>
        <w:rPr>
          <w:rFonts w:ascii="宋体" w:hAnsi="宋体"/>
          <w:b/>
          <w:szCs w:val="21"/>
        </w:rPr>
      </w:pPr>
      <w:bookmarkStart w:id="51" w:name="_Toc308164788"/>
      <w:r>
        <w:rPr>
          <w:rFonts w:hint="eastAsia" w:ascii="宋体" w:hAnsi="宋体"/>
          <w:b/>
          <w:szCs w:val="21"/>
        </w:rPr>
        <w:t>6．充分、公平竞争保障措施</w:t>
      </w:r>
      <w:bookmarkEnd w:id="51"/>
    </w:p>
    <w:p>
      <w:pPr>
        <w:adjustRightInd w:val="0"/>
        <w:spacing w:line="400" w:lineRule="exact"/>
        <w:ind w:left="105" w:leftChars="50" w:firstLine="420" w:firstLineChars="200"/>
        <w:contextualSpacing/>
        <w:textAlignment w:val="baseline"/>
        <w:rPr>
          <w:rFonts w:ascii="宋体" w:hAnsi="宋体"/>
          <w:kern w:val="0"/>
          <w:szCs w:val="21"/>
        </w:rPr>
      </w:pPr>
      <w:r>
        <w:rPr>
          <w:rFonts w:hint="eastAsia" w:ascii="宋体" w:hAnsi="宋体"/>
          <w:kern w:val="0"/>
          <w:szCs w:val="21"/>
        </w:rPr>
        <w:t>总公司、分公司；厂商与分销商或经销商或代理商不能以不同的供应商身份同时参加投标。</w:t>
      </w:r>
    </w:p>
    <w:p>
      <w:pPr>
        <w:spacing w:line="400" w:lineRule="exact"/>
        <w:ind w:left="105" w:leftChars="50" w:firstLine="562" w:firstLineChars="200"/>
        <w:contextualSpacing/>
        <w:jc w:val="center"/>
        <w:rPr>
          <w:rFonts w:ascii="宋体" w:hAnsi="宋体"/>
          <w:b/>
          <w:sz w:val="28"/>
          <w:szCs w:val="28"/>
        </w:rPr>
      </w:pPr>
      <w:bookmarkStart w:id="52" w:name="_Toc89075875"/>
      <w:bookmarkStart w:id="53" w:name="_Toc217446038"/>
      <w:bookmarkStart w:id="54" w:name="_Toc77400779"/>
      <w:bookmarkStart w:id="55" w:name="_Toc183582209"/>
      <w:bookmarkStart w:id="56" w:name="_Toc183682346"/>
      <w:bookmarkStart w:id="57" w:name="_Toc308164789"/>
    </w:p>
    <w:p>
      <w:pPr>
        <w:spacing w:line="400" w:lineRule="exact"/>
        <w:ind w:left="105" w:leftChars="50" w:firstLine="562" w:firstLineChars="200"/>
        <w:contextualSpacing/>
        <w:jc w:val="center"/>
        <w:rPr>
          <w:rFonts w:ascii="宋体" w:hAnsi="宋体"/>
          <w:b/>
          <w:sz w:val="28"/>
          <w:szCs w:val="28"/>
        </w:rPr>
      </w:pPr>
      <w:r>
        <w:rPr>
          <w:rFonts w:hint="eastAsia" w:ascii="宋体" w:hAnsi="宋体"/>
          <w:b/>
          <w:sz w:val="28"/>
          <w:szCs w:val="28"/>
        </w:rPr>
        <w:t>三、招标文件</w:t>
      </w:r>
      <w:bookmarkEnd w:id="52"/>
      <w:bookmarkEnd w:id="53"/>
      <w:bookmarkEnd w:id="54"/>
      <w:bookmarkEnd w:id="55"/>
      <w:bookmarkEnd w:id="56"/>
      <w:bookmarkEnd w:id="57"/>
      <w:bookmarkStart w:id="58" w:name="_Toc308164790"/>
      <w:bookmarkStart w:id="59" w:name="_Toc183682347"/>
      <w:bookmarkStart w:id="60" w:name="_Toc183582210"/>
      <w:bookmarkStart w:id="61" w:name="_Toc217446039"/>
    </w:p>
    <w:p>
      <w:pPr>
        <w:spacing w:line="400" w:lineRule="exact"/>
        <w:ind w:left="105" w:leftChars="50" w:firstLine="422" w:firstLineChars="200"/>
        <w:contextualSpacing/>
        <w:rPr>
          <w:rFonts w:ascii="宋体" w:hAnsi="宋体"/>
          <w:b/>
          <w:szCs w:val="21"/>
        </w:rPr>
      </w:pPr>
      <w:r>
        <w:rPr>
          <w:rFonts w:hint="eastAsia" w:ascii="宋体" w:hAnsi="宋体"/>
          <w:b/>
          <w:szCs w:val="21"/>
        </w:rPr>
        <w:t>7．招标文件的构成</w:t>
      </w:r>
      <w:bookmarkEnd w:id="58"/>
      <w:bookmarkEnd w:id="59"/>
      <w:bookmarkEnd w:id="60"/>
      <w:bookmarkEnd w:id="61"/>
    </w:p>
    <w:p>
      <w:pPr>
        <w:tabs>
          <w:tab w:val="left" w:pos="7665"/>
        </w:tabs>
        <w:spacing w:line="400" w:lineRule="exact"/>
        <w:ind w:left="105" w:leftChars="50"/>
        <w:contextualSpacing/>
        <w:rPr>
          <w:rFonts w:ascii="宋体" w:hAnsi="宋体"/>
          <w:szCs w:val="21"/>
        </w:rPr>
      </w:pPr>
      <w:r>
        <w:rPr>
          <w:rFonts w:hint="eastAsia" w:ascii="宋体" w:hAnsi="宋体"/>
          <w:szCs w:val="21"/>
        </w:rPr>
        <w:t xml:space="preserve">    7</w:t>
      </w:r>
      <w:r>
        <w:rPr>
          <w:rFonts w:hint="eastAsia" w:ascii="宋体" w:hAnsi="宋体"/>
          <w:b/>
          <w:bCs/>
          <w:szCs w:val="21"/>
        </w:rPr>
        <w:t>.</w:t>
      </w:r>
      <w:r>
        <w:rPr>
          <w:rFonts w:hint="eastAsia" w:ascii="宋体" w:hAnsi="宋体"/>
          <w:szCs w:val="21"/>
        </w:rPr>
        <w:t>1招标文件是供应商准备投标文件和参加投标的依据，同时也是评标的重要依据，具有准法律文件性质。招标文件用以阐明招标项目所需的资质、技术、服务及报价等要求、招标投标程序、有关规定和注意事项以及合同主要条款等。</w:t>
      </w:r>
    </w:p>
    <w:p>
      <w:pPr>
        <w:tabs>
          <w:tab w:val="left" w:pos="7665"/>
        </w:tabs>
        <w:spacing w:line="400" w:lineRule="exact"/>
        <w:ind w:left="105" w:leftChars="50" w:firstLine="420" w:firstLineChars="200"/>
        <w:contextualSpacing/>
        <w:rPr>
          <w:rFonts w:ascii="宋体" w:hAnsi="宋体"/>
          <w:szCs w:val="21"/>
        </w:rPr>
      </w:pPr>
      <w:r>
        <w:rPr>
          <w:rFonts w:hint="eastAsia" w:ascii="宋体" w:hAnsi="宋体"/>
          <w:szCs w:val="21"/>
        </w:rPr>
        <w:t>7</w:t>
      </w:r>
      <w:r>
        <w:rPr>
          <w:rFonts w:hint="eastAsia" w:ascii="宋体" w:hAnsi="宋体"/>
          <w:b/>
          <w:bCs/>
          <w:szCs w:val="21"/>
        </w:rPr>
        <w:t>.</w:t>
      </w:r>
      <w:r>
        <w:rPr>
          <w:rFonts w:hint="eastAsia" w:ascii="宋体" w:hAnsi="宋体"/>
          <w:szCs w:val="21"/>
        </w:rPr>
        <w:t>2 投标人应认真阅读和充分理解招标文件中所有的事项、格式条款和规范要求。投标人没有对招标文件全面做出实质性响应是投标人的风险。没有按照招标文件要求作出实质性响应的投标文件将被视为无效投标。</w:t>
      </w:r>
    </w:p>
    <w:p>
      <w:pPr>
        <w:spacing w:line="400" w:lineRule="exact"/>
        <w:ind w:left="105" w:leftChars="50" w:firstLine="422" w:firstLineChars="200"/>
        <w:contextualSpacing/>
        <w:rPr>
          <w:rFonts w:ascii="宋体" w:hAnsi="宋体"/>
          <w:b/>
          <w:szCs w:val="21"/>
        </w:rPr>
      </w:pPr>
      <w:bookmarkStart w:id="62" w:name="_Toc183582211"/>
      <w:bookmarkStart w:id="63" w:name="_Toc183682348"/>
      <w:bookmarkStart w:id="64" w:name="_Toc217446040"/>
      <w:bookmarkStart w:id="65" w:name="_Toc308164791"/>
      <w:r>
        <w:rPr>
          <w:rFonts w:hint="eastAsia" w:ascii="宋体" w:hAnsi="宋体"/>
          <w:b/>
          <w:szCs w:val="21"/>
        </w:rPr>
        <w:t>8. 招标文件的澄清</w:t>
      </w:r>
      <w:bookmarkEnd w:id="62"/>
      <w:bookmarkEnd w:id="63"/>
      <w:r>
        <w:rPr>
          <w:rFonts w:hint="eastAsia" w:ascii="宋体" w:hAnsi="宋体"/>
          <w:b/>
          <w:szCs w:val="21"/>
        </w:rPr>
        <w:t>和修改</w:t>
      </w:r>
      <w:bookmarkEnd w:id="64"/>
      <w:bookmarkEnd w:id="65"/>
    </w:p>
    <w:p>
      <w:pPr>
        <w:tabs>
          <w:tab w:val="left" w:pos="720"/>
        </w:tabs>
        <w:spacing w:line="400" w:lineRule="exact"/>
        <w:ind w:left="105" w:leftChars="50" w:firstLine="420" w:firstLineChars="200"/>
        <w:contextualSpacing/>
        <w:rPr>
          <w:rFonts w:ascii="宋体" w:hAnsi="宋体"/>
          <w:szCs w:val="21"/>
        </w:rPr>
      </w:pPr>
      <w:r>
        <w:rPr>
          <w:rFonts w:hint="eastAsia" w:ascii="宋体" w:hAnsi="宋体"/>
          <w:szCs w:val="21"/>
        </w:rPr>
        <w:t>8.1 在投标截止时间前，招标采购单位无论出于何种原因，可以对招标文件进行澄清或者修改。</w:t>
      </w:r>
    </w:p>
    <w:p>
      <w:pPr>
        <w:spacing w:line="400" w:lineRule="exact"/>
        <w:ind w:left="105" w:leftChars="50" w:firstLine="420" w:firstLineChars="200"/>
        <w:contextualSpacing/>
        <w:rPr>
          <w:rFonts w:ascii="宋体" w:hAnsi="宋体"/>
          <w:szCs w:val="21"/>
        </w:rPr>
      </w:pPr>
      <w:r>
        <w:rPr>
          <w:rFonts w:hint="eastAsia" w:ascii="宋体" w:hAnsi="宋体"/>
          <w:szCs w:val="21"/>
        </w:rPr>
        <w:t>8.2 招标采购单位对已发出的招标文件进行澄清或者修改，将在招标文件要求的提交投标文件截止时间10小时前进行，并以书面形式将澄清或者修改的内容通知所有购买了招标文件的供应商。</w:t>
      </w:r>
    </w:p>
    <w:p>
      <w:pPr>
        <w:spacing w:line="400" w:lineRule="exact"/>
        <w:ind w:left="105" w:leftChars="50" w:firstLine="420" w:firstLineChars="200"/>
        <w:contextualSpacing/>
        <w:rPr>
          <w:rFonts w:ascii="宋体" w:hAnsi="宋体"/>
          <w:szCs w:val="21"/>
        </w:rPr>
      </w:pPr>
      <w:r>
        <w:rPr>
          <w:rFonts w:hint="eastAsia" w:ascii="宋体" w:hAnsi="宋体"/>
          <w:szCs w:val="21"/>
        </w:rPr>
        <w:t>8</w:t>
      </w:r>
      <w:r>
        <w:rPr>
          <w:rFonts w:hint="eastAsia" w:ascii="宋体" w:hAnsi="宋体"/>
          <w:b/>
          <w:bCs/>
          <w:szCs w:val="21"/>
        </w:rPr>
        <w:t>.</w:t>
      </w:r>
      <w:r>
        <w:rPr>
          <w:rFonts w:hint="eastAsia" w:ascii="宋体" w:hAnsi="宋体"/>
          <w:szCs w:val="21"/>
        </w:rPr>
        <w:t>3 投标人要求对招标文件进行澄清的，均应在投标截止日3天前按招标文件中的联系方式，以书面形式通知达州职业技术学院工会。</w:t>
      </w:r>
    </w:p>
    <w:p>
      <w:pPr>
        <w:spacing w:line="400" w:lineRule="exact"/>
        <w:ind w:left="105" w:leftChars="50" w:firstLine="420" w:firstLineChars="200"/>
        <w:contextualSpacing/>
        <w:rPr>
          <w:rFonts w:ascii="宋体" w:hAnsi="宋体"/>
          <w:szCs w:val="21"/>
        </w:rPr>
      </w:pPr>
      <w:bookmarkStart w:id="66" w:name="_Toc183682351"/>
      <w:bookmarkStart w:id="67" w:name="_Toc89075876"/>
      <w:bookmarkStart w:id="68" w:name="_Toc183582214"/>
      <w:bookmarkStart w:id="69" w:name="_Toc217446042"/>
      <w:bookmarkStart w:id="70" w:name="_Toc77400780"/>
      <w:r>
        <w:rPr>
          <w:rFonts w:hint="eastAsia" w:ascii="宋体" w:hAnsi="宋体"/>
          <w:szCs w:val="21"/>
        </w:rPr>
        <w:t>8.4 在投标截止时间前，招标采购单位可以视采购具体情况，延长投标截止时间和开标时间，并在招标文件要求提交投标文件的截止时间1日前在达州职业技术学院网上发布变更公告。</w:t>
      </w:r>
    </w:p>
    <w:p>
      <w:pPr>
        <w:spacing w:line="400" w:lineRule="exact"/>
        <w:ind w:left="105" w:leftChars="50" w:firstLine="420" w:firstLineChars="200"/>
        <w:contextualSpacing/>
        <w:rPr>
          <w:rFonts w:ascii="宋体" w:hAnsi="宋体"/>
          <w:szCs w:val="21"/>
        </w:rPr>
      </w:pPr>
    </w:p>
    <w:p>
      <w:pPr>
        <w:spacing w:line="400" w:lineRule="exact"/>
        <w:ind w:left="105" w:leftChars="50" w:firstLine="562" w:firstLineChars="200"/>
        <w:contextualSpacing/>
        <w:jc w:val="center"/>
        <w:rPr>
          <w:rFonts w:ascii="宋体" w:hAnsi="宋体"/>
          <w:b/>
          <w:sz w:val="28"/>
          <w:szCs w:val="28"/>
        </w:rPr>
      </w:pPr>
      <w:bookmarkStart w:id="71" w:name="_Toc308164792"/>
      <w:r>
        <w:rPr>
          <w:rFonts w:hint="eastAsia" w:ascii="宋体" w:hAnsi="宋体"/>
          <w:b/>
          <w:sz w:val="28"/>
          <w:szCs w:val="28"/>
        </w:rPr>
        <w:t>四、投标文件</w:t>
      </w:r>
      <w:bookmarkEnd w:id="66"/>
      <w:bookmarkEnd w:id="67"/>
      <w:bookmarkEnd w:id="68"/>
      <w:bookmarkEnd w:id="69"/>
      <w:bookmarkEnd w:id="70"/>
      <w:bookmarkEnd w:id="71"/>
    </w:p>
    <w:p>
      <w:pPr>
        <w:spacing w:line="400" w:lineRule="exact"/>
        <w:ind w:left="105" w:leftChars="50" w:firstLine="422" w:firstLineChars="200"/>
        <w:contextualSpacing/>
        <w:rPr>
          <w:rFonts w:ascii="宋体" w:hAnsi="宋体"/>
          <w:b/>
          <w:szCs w:val="21"/>
        </w:rPr>
      </w:pPr>
      <w:bookmarkStart w:id="72" w:name="_Toc183682352"/>
      <w:bookmarkStart w:id="73" w:name="_Toc183582215"/>
      <w:bookmarkStart w:id="74" w:name="_Toc308164793"/>
      <w:bookmarkStart w:id="75" w:name="_Toc217446043"/>
      <w:r>
        <w:rPr>
          <w:rFonts w:hint="eastAsia" w:ascii="宋体" w:hAnsi="宋体"/>
          <w:b/>
          <w:szCs w:val="21"/>
        </w:rPr>
        <w:t>9．投标文件的语言</w:t>
      </w:r>
      <w:bookmarkEnd w:id="72"/>
      <w:bookmarkEnd w:id="73"/>
      <w:bookmarkEnd w:id="74"/>
      <w:bookmarkEnd w:id="75"/>
    </w:p>
    <w:p>
      <w:pPr>
        <w:spacing w:line="400" w:lineRule="exact"/>
        <w:ind w:firstLine="525" w:firstLineChars="250"/>
        <w:rPr>
          <w:rFonts w:ascii="宋体" w:hAnsi="宋体"/>
          <w:szCs w:val="21"/>
        </w:rPr>
      </w:pPr>
      <w:r>
        <w:rPr>
          <w:rFonts w:hint="eastAsia" w:ascii="宋体" w:hAnsi="宋体"/>
          <w:szCs w:val="21"/>
        </w:rPr>
        <w:t>投标人提交的投标文件以及投标人与招标采购单位就有关投标的所有来往书面文件均须使用中文。</w:t>
      </w:r>
    </w:p>
    <w:p>
      <w:pPr>
        <w:spacing w:line="400" w:lineRule="exact"/>
        <w:ind w:left="105" w:leftChars="50" w:firstLine="422" w:firstLineChars="200"/>
        <w:contextualSpacing/>
        <w:rPr>
          <w:rFonts w:ascii="宋体" w:hAnsi="宋体"/>
          <w:b/>
          <w:szCs w:val="21"/>
        </w:rPr>
      </w:pPr>
      <w:bookmarkStart w:id="76" w:name="_Toc183582216"/>
      <w:bookmarkStart w:id="77" w:name="_Toc217446044"/>
      <w:bookmarkStart w:id="78" w:name="_Toc308164794"/>
      <w:bookmarkStart w:id="79" w:name="_Toc183682353"/>
      <w:r>
        <w:rPr>
          <w:rFonts w:hint="eastAsia" w:ascii="宋体" w:hAnsi="宋体"/>
          <w:b/>
          <w:szCs w:val="21"/>
        </w:rPr>
        <w:t>10．计量单位</w:t>
      </w:r>
      <w:bookmarkEnd w:id="76"/>
      <w:bookmarkEnd w:id="77"/>
      <w:bookmarkEnd w:id="78"/>
      <w:bookmarkEnd w:id="79"/>
    </w:p>
    <w:p>
      <w:pPr>
        <w:spacing w:line="400" w:lineRule="exact"/>
        <w:ind w:left="105" w:leftChars="50" w:firstLine="412" w:firstLineChars="196"/>
        <w:contextualSpacing/>
        <w:rPr>
          <w:rFonts w:ascii="宋体" w:hAnsi="宋体"/>
          <w:szCs w:val="21"/>
        </w:rPr>
      </w:pPr>
      <w:r>
        <w:rPr>
          <w:rFonts w:hint="eastAsia" w:ascii="宋体" w:hAnsi="宋体"/>
          <w:szCs w:val="21"/>
        </w:rPr>
        <w:t>除技术规格及要求中另有规定外，本采购项下的投标均采用国家法定的计量单位。</w:t>
      </w:r>
    </w:p>
    <w:p>
      <w:pPr>
        <w:spacing w:line="400" w:lineRule="exact"/>
        <w:ind w:firstLine="413" w:firstLineChars="196"/>
        <w:rPr>
          <w:rFonts w:ascii="宋体" w:hAnsi="宋体"/>
          <w:b/>
          <w:szCs w:val="21"/>
        </w:rPr>
      </w:pPr>
      <w:bookmarkStart w:id="80" w:name="_Toc217446045"/>
      <w:bookmarkStart w:id="81" w:name="_Toc308164795"/>
      <w:r>
        <w:rPr>
          <w:rFonts w:hint="eastAsia" w:ascii="宋体" w:hAnsi="宋体"/>
          <w:b/>
          <w:szCs w:val="21"/>
        </w:rPr>
        <w:t>11. 投标货币</w:t>
      </w:r>
      <w:bookmarkEnd w:id="80"/>
      <w:bookmarkEnd w:id="81"/>
    </w:p>
    <w:p>
      <w:pPr>
        <w:tabs>
          <w:tab w:val="left" w:pos="7665"/>
        </w:tabs>
        <w:spacing w:line="400" w:lineRule="exact"/>
        <w:ind w:left="223" w:leftChars="50" w:hanging="118"/>
        <w:contextualSpacing/>
        <w:rPr>
          <w:rFonts w:ascii="宋体" w:hAnsi="宋体"/>
          <w:szCs w:val="21"/>
        </w:rPr>
      </w:pPr>
      <w:r>
        <w:rPr>
          <w:rFonts w:hint="eastAsia" w:ascii="宋体" w:hAnsi="宋体"/>
          <w:szCs w:val="21"/>
        </w:rPr>
        <w:t xml:space="preserve"> 本次招标项目的投标均以人民币报价。</w:t>
      </w:r>
    </w:p>
    <w:p>
      <w:pPr>
        <w:spacing w:line="400" w:lineRule="exact"/>
        <w:ind w:firstLine="413" w:firstLineChars="196"/>
        <w:rPr>
          <w:rFonts w:ascii="宋体" w:hAnsi="宋体"/>
          <w:b/>
          <w:szCs w:val="21"/>
        </w:rPr>
      </w:pPr>
      <w:bookmarkStart w:id="82" w:name="_Toc217446046"/>
      <w:bookmarkStart w:id="83" w:name="_Toc308164796"/>
      <w:r>
        <w:rPr>
          <w:rFonts w:hint="eastAsia" w:ascii="宋体" w:hAnsi="宋体"/>
          <w:b/>
          <w:szCs w:val="21"/>
        </w:rPr>
        <w:t>12. 联合体投标</w:t>
      </w:r>
      <w:bookmarkEnd w:id="82"/>
      <w:bookmarkEnd w:id="83"/>
    </w:p>
    <w:p>
      <w:pPr>
        <w:pStyle w:val="4"/>
        <w:spacing w:line="400" w:lineRule="exact"/>
        <w:ind w:left="105" w:leftChars="50"/>
        <w:contextualSpacing/>
        <w:rPr>
          <w:szCs w:val="21"/>
        </w:rPr>
      </w:pPr>
      <w:r>
        <w:rPr>
          <w:rFonts w:hint="eastAsia"/>
          <w:szCs w:val="21"/>
        </w:rPr>
        <w:t>本项目不接受联合体投标。</w:t>
      </w:r>
    </w:p>
    <w:p>
      <w:pPr>
        <w:spacing w:line="400" w:lineRule="exact"/>
        <w:ind w:left="105" w:leftChars="50" w:firstLine="422" w:firstLineChars="200"/>
        <w:contextualSpacing/>
        <w:rPr>
          <w:rFonts w:ascii="宋体" w:hAnsi="宋体"/>
          <w:b/>
          <w:szCs w:val="21"/>
        </w:rPr>
      </w:pPr>
      <w:bookmarkStart w:id="84" w:name="_Toc308164797"/>
      <w:bookmarkStart w:id="85" w:name="_Toc217446047"/>
      <w:r>
        <w:rPr>
          <w:rFonts w:hint="eastAsia" w:ascii="宋体" w:hAnsi="宋体"/>
          <w:b/>
          <w:szCs w:val="21"/>
        </w:rPr>
        <w:t>13. 知识产权</w:t>
      </w:r>
      <w:bookmarkEnd w:id="84"/>
      <w:bookmarkEnd w:id="85"/>
    </w:p>
    <w:p>
      <w:pPr>
        <w:pStyle w:val="21"/>
        <w:spacing w:line="400" w:lineRule="exact"/>
        <w:ind w:left="105" w:leftChars="50" w:firstLine="420" w:firstLineChars="200"/>
        <w:contextualSpacing/>
        <w:rPr>
          <w:rFonts w:ascii="宋体" w:hAnsi="宋体"/>
          <w:sz w:val="21"/>
          <w:szCs w:val="21"/>
        </w:rPr>
      </w:pPr>
      <w:r>
        <w:rPr>
          <w:rFonts w:hint="eastAsia" w:ascii="宋体" w:hAnsi="宋体"/>
          <w:sz w:val="21"/>
          <w:szCs w:val="21"/>
        </w:rPr>
        <w:t>投标人应保证在本项目使用的任何产品和服务（包括部分使用）时，不会产生因第三方提出侵犯其权力而引起的法律和经济纠纷，如因专利权、商标权或其它知识产权而引起法律和经济纠纷，由投标人承担所有相关责任。</w:t>
      </w:r>
    </w:p>
    <w:p>
      <w:pPr>
        <w:spacing w:line="400" w:lineRule="exact"/>
        <w:ind w:left="105" w:leftChars="50" w:firstLine="422" w:firstLineChars="200"/>
        <w:contextualSpacing/>
        <w:rPr>
          <w:rFonts w:ascii="宋体" w:hAnsi="宋体"/>
          <w:b/>
          <w:szCs w:val="21"/>
        </w:rPr>
      </w:pPr>
      <w:bookmarkStart w:id="86" w:name="_Toc183682354"/>
      <w:bookmarkStart w:id="87" w:name="_Toc308164798"/>
      <w:bookmarkStart w:id="88" w:name="_Toc217446048"/>
      <w:bookmarkStart w:id="89" w:name="_Toc183582217"/>
      <w:r>
        <w:rPr>
          <w:rFonts w:hint="eastAsia" w:ascii="宋体" w:hAnsi="宋体"/>
          <w:b/>
          <w:szCs w:val="21"/>
        </w:rPr>
        <w:t>14．投标文件的组成</w:t>
      </w:r>
      <w:bookmarkEnd w:id="86"/>
      <w:bookmarkEnd w:id="87"/>
      <w:bookmarkEnd w:id="88"/>
      <w:bookmarkEnd w:id="89"/>
    </w:p>
    <w:p>
      <w:pPr>
        <w:spacing w:line="400" w:lineRule="exact"/>
        <w:ind w:left="105" w:leftChars="50" w:firstLine="412" w:firstLineChars="196"/>
        <w:contextualSpacing/>
        <w:rPr>
          <w:rFonts w:ascii="宋体" w:hAnsi="宋体"/>
          <w:szCs w:val="21"/>
        </w:rPr>
      </w:pPr>
      <w:r>
        <w:rPr>
          <w:rFonts w:hint="eastAsia" w:ascii="宋体" w:hAnsi="宋体"/>
          <w:szCs w:val="21"/>
        </w:rPr>
        <w:t xml:space="preserve"> 投标人应按照招标文件的规定和要求编制投标文件。投标人拟在中标后将中标项目的非主体、非关键性工作交由他人完成的，应当在投标文件中载明。投标人编写的投标文件应包括下列部分：</w:t>
      </w:r>
    </w:p>
    <w:p>
      <w:pPr>
        <w:spacing w:line="400" w:lineRule="exact"/>
        <w:ind w:left="105" w:leftChars="50" w:firstLine="413" w:firstLineChars="196"/>
        <w:contextualSpacing/>
        <w:rPr>
          <w:rFonts w:ascii="宋体" w:hAnsi="宋体"/>
          <w:szCs w:val="21"/>
        </w:rPr>
      </w:pPr>
      <w:r>
        <w:rPr>
          <w:rFonts w:hint="eastAsia" w:ascii="宋体" w:hAnsi="宋体"/>
          <w:b/>
          <w:szCs w:val="21"/>
        </w:rPr>
        <w:t>14.1 报价部分。</w:t>
      </w:r>
      <w:r>
        <w:rPr>
          <w:rFonts w:hint="eastAsia" w:ascii="宋体" w:hAnsi="宋体"/>
          <w:bCs/>
          <w:szCs w:val="21"/>
        </w:rPr>
        <w:t>投标人</w:t>
      </w:r>
      <w:r>
        <w:rPr>
          <w:rFonts w:hint="eastAsia" w:ascii="宋体" w:hAnsi="宋体"/>
          <w:szCs w:val="21"/>
        </w:rPr>
        <w:t>按照招标文件要求填写的“开标一览表”及“报价明细表”。 本次招标报价要求：</w:t>
      </w:r>
    </w:p>
    <w:p>
      <w:pPr>
        <w:spacing w:line="400" w:lineRule="exact"/>
        <w:ind w:left="105" w:leftChars="50" w:firstLine="315" w:firstLineChars="150"/>
        <w:contextualSpacing/>
        <w:rPr>
          <w:rFonts w:ascii="宋体" w:hAnsi="宋体"/>
          <w:szCs w:val="21"/>
        </w:rPr>
      </w:pPr>
      <w:r>
        <w:rPr>
          <w:rFonts w:hint="eastAsia" w:ascii="宋体" w:hAnsi="宋体"/>
          <w:szCs w:val="21"/>
        </w:rPr>
        <w:t>（1）投标人的报价是投标人响应招标项目要求的全部工作内容的价格体现，包括投标人完成本项目所需的一切费用。</w:t>
      </w:r>
    </w:p>
    <w:p>
      <w:pPr>
        <w:spacing w:line="400" w:lineRule="exact"/>
        <w:ind w:left="105" w:leftChars="50" w:firstLine="309" w:firstLineChars="147"/>
        <w:contextualSpacing/>
        <w:rPr>
          <w:rFonts w:ascii="宋体" w:hAnsi="宋体"/>
          <w:szCs w:val="21"/>
        </w:rPr>
      </w:pPr>
      <w:r>
        <w:rPr>
          <w:rFonts w:hint="eastAsia" w:ascii="宋体" w:hAnsi="宋体"/>
          <w:szCs w:val="21"/>
        </w:rPr>
        <w:t>（2）投标人每种货物只允许有一个报价，并且在合同履行过程中是固定不变的，任何有选择或可调整的报价将不予接受，并按无效投标处理。</w:t>
      </w:r>
    </w:p>
    <w:p>
      <w:pPr>
        <w:spacing w:line="400" w:lineRule="exact"/>
        <w:ind w:left="105" w:leftChars="50" w:firstLine="315" w:firstLineChars="150"/>
        <w:contextualSpacing/>
        <w:rPr>
          <w:rFonts w:ascii="宋体" w:hAnsi="宋体"/>
          <w:szCs w:val="21"/>
        </w:rPr>
      </w:pPr>
      <w:r>
        <w:rPr>
          <w:rFonts w:hint="eastAsia" w:ascii="宋体" w:hAnsi="宋体"/>
          <w:szCs w:val="21"/>
        </w:rPr>
        <w:t>（3）在一年（每年1月1日至12月31日）之内，投标人本次投标中对同一产品报价与其在中国境内其他地方的最低报价比例不得高于15%。否则，投标人的投标文件将作为无效投标处理或者取消其中标资格。</w:t>
      </w:r>
    </w:p>
    <w:p>
      <w:pPr>
        <w:tabs>
          <w:tab w:val="left" w:pos="540"/>
        </w:tabs>
        <w:spacing w:line="400" w:lineRule="exact"/>
        <w:ind w:left="105" w:leftChars="50" w:firstLine="413" w:firstLineChars="196"/>
        <w:contextualSpacing/>
        <w:rPr>
          <w:rFonts w:ascii="宋体" w:hAnsi="宋体"/>
          <w:szCs w:val="21"/>
        </w:rPr>
      </w:pPr>
      <w:r>
        <w:rPr>
          <w:rFonts w:hint="eastAsia" w:ascii="宋体" w:hAnsi="宋体"/>
          <w:b/>
          <w:bCs/>
          <w:szCs w:val="21"/>
        </w:rPr>
        <w:t>14.2 技术部分。</w:t>
      </w:r>
      <w:r>
        <w:rPr>
          <w:rFonts w:hint="eastAsia" w:ascii="宋体" w:hAnsi="宋体"/>
          <w:bCs/>
          <w:szCs w:val="21"/>
        </w:rPr>
        <w:t>投标人</w:t>
      </w:r>
      <w:r>
        <w:rPr>
          <w:rFonts w:hint="eastAsia" w:ascii="宋体" w:hAnsi="宋体"/>
          <w:szCs w:val="21"/>
        </w:rPr>
        <w:t>按照招标文件要求做出的技术应答，主要是针对招标项目的技术指标、参数和技术要求做出的实质性响应和满足。</w:t>
      </w:r>
    </w:p>
    <w:p>
      <w:pPr>
        <w:spacing w:line="400" w:lineRule="exact"/>
        <w:ind w:left="105" w:leftChars="50" w:firstLine="413" w:firstLineChars="196"/>
        <w:contextualSpacing/>
        <w:rPr>
          <w:rFonts w:ascii="宋体" w:hAnsi="宋体"/>
          <w:szCs w:val="21"/>
        </w:rPr>
      </w:pPr>
      <w:r>
        <w:rPr>
          <w:rFonts w:hint="eastAsia" w:ascii="宋体" w:hAnsi="宋体"/>
          <w:b/>
          <w:bCs/>
          <w:szCs w:val="21"/>
        </w:rPr>
        <w:t>14.3 商务部分。</w:t>
      </w:r>
      <w:r>
        <w:rPr>
          <w:rFonts w:hint="eastAsia" w:ascii="宋体" w:hAnsi="宋体"/>
          <w:bCs/>
          <w:szCs w:val="21"/>
        </w:rPr>
        <w:t>投标人</w:t>
      </w:r>
      <w:r>
        <w:rPr>
          <w:rFonts w:hint="eastAsia" w:ascii="宋体" w:hAnsi="宋体"/>
          <w:szCs w:val="21"/>
        </w:rPr>
        <w:t>按照招标文件要求提供的有关文件及优惠承诺。包括以下内容：</w:t>
      </w:r>
    </w:p>
    <w:p>
      <w:pPr>
        <w:spacing w:line="400" w:lineRule="exact"/>
        <w:ind w:left="239" w:leftChars="50" w:hanging="134" w:hangingChars="64"/>
        <w:contextualSpacing/>
        <w:rPr>
          <w:rFonts w:ascii="宋体" w:hAnsi="宋体"/>
          <w:szCs w:val="21"/>
        </w:rPr>
      </w:pPr>
      <w:r>
        <w:rPr>
          <w:rFonts w:hint="eastAsia" w:ascii="宋体" w:hAnsi="宋体"/>
          <w:szCs w:val="21"/>
        </w:rPr>
        <w:t xml:space="preserve">    （1）投标函；</w:t>
      </w:r>
    </w:p>
    <w:p>
      <w:pPr>
        <w:spacing w:line="400" w:lineRule="exact"/>
        <w:ind w:left="239" w:leftChars="50" w:hanging="134" w:hangingChars="64"/>
        <w:contextualSpacing/>
        <w:rPr>
          <w:rFonts w:ascii="宋体" w:hAnsi="宋体"/>
          <w:szCs w:val="21"/>
        </w:rPr>
      </w:pPr>
      <w:r>
        <w:rPr>
          <w:rFonts w:hint="eastAsia" w:ascii="宋体" w:hAnsi="宋体"/>
          <w:szCs w:val="21"/>
        </w:rPr>
        <w:t xml:space="preserve">    （2）投标人企业法人营业执照（非企业法人提供符合招标文件要求的合法证件）；税务登记证书；</w:t>
      </w:r>
    </w:p>
    <w:p>
      <w:pPr>
        <w:spacing w:line="400" w:lineRule="exact"/>
        <w:ind w:left="237" w:leftChars="113" w:firstLine="315" w:firstLineChars="150"/>
        <w:contextualSpacing/>
        <w:rPr>
          <w:rFonts w:ascii="宋体" w:hAnsi="宋体"/>
          <w:szCs w:val="21"/>
        </w:rPr>
      </w:pPr>
      <w:r>
        <w:rPr>
          <w:rFonts w:hint="eastAsia" w:ascii="宋体" w:hAnsi="宋体"/>
          <w:szCs w:val="21"/>
        </w:rPr>
        <w:t>（3）法定代表人授权书原件；</w:t>
      </w:r>
    </w:p>
    <w:p>
      <w:pPr>
        <w:spacing w:line="400" w:lineRule="exact"/>
        <w:ind w:left="239" w:leftChars="50" w:hanging="134" w:hangingChars="64"/>
        <w:contextualSpacing/>
        <w:rPr>
          <w:rFonts w:ascii="宋体" w:hAnsi="宋体"/>
          <w:szCs w:val="21"/>
        </w:rPr>
      </w:pPr>
      <w:r>
        <w:rPr>
          <w:rFonts w:hint="eastAsia" w:ascii="宋体" w:hAnsi="宋体"/>
          <w:szCs w:val="21"/>
        </w:rPr>
        <w:t xml:space="preserve">    （4）授权代表身份证复印件；</w:t>
      </w:r>
    </w:p>
    <w:p>
      <w:pPr>
        <w:spacing w:line="400" w:lineRule="exact"/>
        <w:ind w:left="237" w:leftChars="100" w:hanging="27" w:hangingChars="13"/>
        <w:contextualSpacing/>
        <w:rPr>
          <w:rFonts w:ascii="宋体" w:hAnsi="宋体"/>
          <w:szCs w:val="21"/>
        </w:rPr>
      </w:pPr>
      <w:r>
        <w:rPr>
          <w:rFonts w:hint="eastAsia" w:ascii="宋体" w:hAnsi="宋体"/>
          <w:szCs w:val="21"/>
        </w:rPr>
        <w:t xml:space="preserve">   （5）投标人和投标产品符合招标文件规定的资格、资质性及其他具有类似效力要求的相关证明材料；</w:t>
      </w:r>
    </w:p>
    <w:p>
      <w:pPr>
        <w:spacing w:line="400" w:lineRule="exact"/>
        <w:ind w:left="239" w:leftChars="50" w:hanging="134" w:hangingChars="64"/>
        <w:contextualSpacing/>
        <w:rPr>
          <w:rFonts w:ascii="宋体" w:hAnsi="宋体"/>
          <w:szCs w:val="21"/>
        </w:rPr>
      </w:pPr>
      <w:r>
        <w:rPr>
          <w:rFonts w:hint="eastAsia" w:ascii="宋体" w:hAnsi="宋体"/>
          <w:szCs w:val="21"/>
        </w:rPr>
        <w:t xml:space="preserve">    （6）投标人承诺给予招标采购单位的各种优惠条件</w:t>
      </w:r>
    </w:p>
    <w:p>
      <w:pPr>
        <w:spacing w:line="400" w:lineRule="exact"/>
        <w:ind w:left="105" w:leftChars="50" w:firstLine="420" w:firstLineChars="200"/>
        <w:contextualSpacing/>
        <w:rPr>
          <w:rFonts w:ascii="宋体" w:hAnsi="宋体"/>
          <w:szCs w:val="21"/>
        </w:rPr>
      </w:pPr>
      <w:r>
        <w:rPr>
          <w:rFonts w:hint="eastAsia" w:ascii="宋体" w:hAnsi="宋体"/>
          <w:szCs w:val="21"/>
        </w:rPr>
        <w:t>（7）证明投标人业绩和荣誉的有关材料；</w:t>
      </w:r>
    </w:p>
    <w:p>
      <w:pPr>
        <w:spacing w:line="400" w:lineRule="exact"/>
        <w:ind w:left="239" w:leftChars="50" w:hanging="134" w:hangingChars="64"/>
        <w:contextualSpacing/>
        <w:rPr>
          <w:rFonts w:ascii="宋体" w:hAnsi="宋体"/>
          <w:szCs w:val="21"/>
        </w:rPr>
      </w:pPr>
      <w:r>
        <w:rPr>
          <w:rFonts w:hint="eastAsia" w:ascii="宋体" w:hAnsi="宋体"/>
          <w:szCs w:val="21"/>
        </w:rPr>
        <w:t xml:space="preserve">    （8）商务应答表；</w:t>
      </w:r>
    </w:p>
    <w:p>
      <w:pPr>
        <w:spacing w:line="400" w:lineRule="exact"/>
        <w:ind w:left="105" w:leftChars="50" w:firstLine="420" w:firstLineChars="200"/>
        <w:contextualSpacing/>
        <w:rPr>
          <w:rFonts w:ascii="宋体" w:hAnsi="宋体"/>
          <w:szCs w:val="21"/>
        </w:rPr>
      </w:pPr>
      <w:r>
        <w:rPr>
          <w:rFonts w:hint="eastAsia" w:ascii="宋体" w:hAnsi="宋体"/>
          <w:szCs w:val="21"/>
        </w:rPr>
        <w:t>（9）其他投标人认为需要提供的文件和资料。</w:t>
      </w:r>
    </w:p>
    <w:p>
      <w:pPr>
        <w:spacing w:line="400" w:lineRule="exact"/>
        <w:ind w:left="105" w:leftChars="50" w:firstLine="474" w:firstLineChars="225"/>
        <w:contextualSpacing/>
        <w:rPr>
          <w:rFonts w:ascii="宋体" w:hAnsi="宋体"/>
          <w:bCs/>
          <w:szCs w:val="21"/>
        </w:rPr>
      </w:pPr>
      <w:r>
        <w:rPr>
          <w:rFonts w:hint="eastAsia" w:ascii="宋体" w:hAnsi="宋体"/>
          <w:b/>
          <w:bCs/>
          <w:szCs w:val="21"/>
        </w:rPr>
        <w:t>14.4售后服务。</w:t>
      </w:r>
      <w:r>
        <w:rPr>
          <w:rFonts w:hint="eastAsia" w:ascii="宋体" w:hAnsi="宋体"/>
          <w:bCs/>
          <w:szCs w:val="21"/>
        </w:rPr>
        <w:t>投标人按照招标文件中售后服务要求作出的积极响应和承诺。包括以下内容：</w:t>
      </w:r>
    </w:p>
    <w:p>
      <w:pPr>
        <w:spacing w:line="400" w:lineRule="exact"/>
        <w:ind w:left="105" w:leftChars="50" w:firstLine="420" w:firstLineChars="200"/>
        <w:contextualSpacing/>
        <w:rPr>
          <w:rFonts w:ascii="宋体" w:hAnsi="宋体"/>
          <w:szCs w:val="21"/>
        </w:rPr>
      </w:pPr>
      <w:r>
        <w:rPr>
          <w:rFonts w:hint="eastAsia" w:ascii="宋体" w:hAnsi="宋体"/>
          <w:szCs w:val="21"/>
        </w:rPr>
        <w:t>（1）分别提供产品制造厂家或投标人的服务承诺和保障措施；</w:t>
      </w:r>
    </w:p>
    <w:p>
      <w:pPr>
        <w:spacing w:line="400" w:lineRule="exact"/>
        <w:ind w:left="105" w:leftChars="50" w:firstLine="420" w:firstLineChars="200"/>
        <w:contextualSpacing/>
        <w:rPr>
          <w:rFonts w:ascii="宋体" w:hAnsi="宋体"/>
          <w:szCs w:val="21"/>
        </w:rPr>
      </w:pPr>
      <w:r>
        <w:rPr>
          <w:rFonts w:hint="eastAsia" w:ascii="宋体" w:hAnsi="宋体"/>
          <w:szCs w:val="21"/>
        </w:rPr>
        <w:t>（2）其他有利于用户的服务承诺。</w:t>
      </w:r>
    </w:p>
    <w:p>
      <w:pPr>
        <w:adjustRightInd w:val="0"/>
        <w:snapToGrid w:val="0"/>
        <w:spacing w:line="400" w:lineRule="exact"/>
        <w:ind w:left="105" w:leftChars="50" w:firstLine="422" w:firstLineChars="200"/>
        <w:contextualSpacing/>
        <w:rPr>
          <w:rFonts w:ascii="宋体" w:hAnsi="宋体"/>
          <w:b/>
          <w:bCs/>
          <w:szCs w:val="21"/>
        </w:rPr>
      </w:pPr>
      <w:r>
        <w:rPr>
          <w:rFonts w:hint="eastAsia" w:ascii="宋体" w:hAnsi="宋体"/>
          <w:b/>
          <w:bCs/>
          <w:szCs w:val="21"/>
        </w:rPr>
        <w:t>14.5其他部分。</w:t>
      </w:r>
    </w:p>
    <w:p>
      <w:pPr>
        <w:adjustRightInd w:val="0"/>
        <w:snapToGrid w:val="0"/>
        <w:spacing w:line="400" w:lineRule="exact"/>
        <w:ind w:left="105" w:leftChars="50" w:firstLine="420" w:firstLineChars="200"/>
        <w:contextualSpacing/>
        <w:rPr>
          <w:rFonts w:ascii="宋体" w:hAnsi="宋体"/>
          <w:szCs w:val="21"/>
        </w:rPr>
      </w:pPr>
      <w:r>
        <w:rPr>
          <w:rFonts w:hint="eastAsia" w:ascii="宋体" w:hAnsi="宋体"/>
          <w:bCs/>
          <w:szCs w:val="21"/>
        </w:rPr>
        <w:t>投标人按照招标文件要求作出的其他应答和承诺。</w:t>
      </w:r>
    </w:p>
    <w:p>
      <w:pPr>
        <w:spacing w:line="400" w:lineRule="exact"/>
        <w:ind w:left="105" w:leftChars="50" w:firstLine="422" w:firstLineChars="200"/>
        <w:contextualSpacing/>
        <w:rPr>
          <w:rFonts w:ascii="宋体" w:hAnsi="宋体"/>
          <w:b/>
          <w:szCs w:val="21"/>
        </w:rPr>
      </w:pPr>
      <w:bookmarkStart w:id="90" w:name="_Toc183582218"/>
      <w:bookmarkStart w:id="91" w:name="_Toc217446049"/>
      <w:bookmarkStart w:id="92" w:name="_Toc183682355"/>
      <w:bookmarkStart w:id="93" w:name="_Toc308164799"/>
      <w:r>
        <w:rPr>
          <w:rFonts w:hint="eastAsia" w:ascii="宋体" w:hAnsi="宋体"/>
          <w:b/>
          <w:szCs w:val="21"/>
        </w:rPr>
        <w:t>15．投标文件格式</w:t>
      </w:r>
      <w:bookmarkEnd w:id="90"/>
      <w:bookmarkEnd w:id="91"/>
      <w:bookmarkEnd w:id="92"/>
      <w:bookmarkEnd w:id="93"/>
      <w:r>
        <w:rPr>
          <w:rFonts w:hint="eastAsia" w:ascii="宋体" w:hAnsi="宋体"/>
          <w:b/>
          <w:szCs w:val="21"/>
        </w:rPr>
        <w:t>。</w:t>
      </w:r>
      <w:r>
        <w:rPr>
          <w:rFonts w:hint="eastAsia" w:ascii="宋体" w:hAnsi="宋体"/>
          <w:b/>
          <w:szCs w:val="21"/>
        </w:rPr>
        <w:tab/>
      </w:r>
    </w:p>
    <w:p>
      <w:pPr>
        <w:tabs>
          <w:tab w:val="left" w:pos="7665"/>
        </w:tabs>
        <w:spacing w:line="400" w:lineRule="exact"/>
        <w:ind w:left="105" w:leftChars="50" w:firstLine="420" w:firstLineChars="200"/>
        <w:contextualSpacing/>
        <w:rPr>
          <w:rFonts w:ascii="宋体" w:hAnsi="宋体"/>
          <w:szCs w:val="21"/>
        </w:rPr>
      </w:pPr>
      <w:r>
        <w:rPr>
          <w:rFonts w:hint="eastAsia" w:ascii="宋体" w:hAnsi="宋体"/>
          <w:szCs w:val="21"/>
        </w:rPr>
        <w:t>15.1投标人应严格按照招标文件第三章中提供的“投标文件格式”填写相关内容。</w:t>
      </w:r>
    </w:p>
    <w:p>
      <w:pPr>
        <w:tabs>
          <w:tab w:val="left" w:pos="7665"/>
        </w:tabs>
        <w:spacing w:line="400" w:lineRule="exact"/>
        <w:ind w:left="105" w:leftChars="50" w:firstLine="420" w:firstLineChars="200"/>
        <w:contextualSpacing/>
        <w:rPr>
          <w:rFonts w:ascii="宋体" w:hAnsi="宋体"/>
          <w:szCs w:val="21"/>
        </w:rPr>
      </w:pPr>
      <w:r>
        <w:rPr>
          <w:rFonts w:hint="eastAsia" w:ascii="宋体" w:hAnsi="宋体"/>
          <w:szCs w:val="21"/>
        </w:rPr>
        <w:t>15.2 对于没有格式要求的投标文件由投标人自行编写。</w:t>
      </w:r>
    </w:p>
    <w:p>
      <w:pPr>
        <w:spacing w:line="400" w:lineRule="exact"/>
        <w:ind w:left="105" w:leftChars="50" w:firstLine="422" w:firstLineChars="200"/>
        <w:contextualSpacing/>
        <w:rPr>
          <w:rFonts w:ascii="宋体" w:hAnsi="宋体"/>
          <w:b/>
          <w:szCs w:val="21"/>
        </w:rPr>
      </w:pPr>
      <w:bookmarkStart w:id="94" w:name="_Toc183582223"/>
      <w:bookmarkStart w:id="95" w:name="_Toc183682360"/>
      <w:bookmarkStart w:id="96" w:name="_Toc217446050"/>
      <w:bookmarkStart w:id="97" w:name="_Toc308164800"/>
      <w:r>
        <w:rPr>
          <w:rFonts w:hint="eastAsia" w:ascii="宋体" w:hAnsi="宋体"/>
          <w:b/>
          <w:szCs w:val="21"/>
        </w:rPr>
        <w:t>16．投标保证金</w:t>
      </w:r>
      <w:bookmarkEnd w:id="94"/>
      <w:bookmarkEnd w:id="95"/>
      <w:bookmarkEnd w:id="96"/>
      <w:bookmarkEnd w:id="97"/>
    </w:p>
    <w:p>
      <w:pPr>
        <w:spacing w:line="400" w:lineRule="exact"/>
        <w:ind w:left="105" w:leftChars="50" w:firstLine="412" w:firstLineChars="196"/>
        <w:contextualSpacing/>
        <w:rPr>
          <w:rFonts w:ascii="宋体" w:hAnsi="宋体"/>
          <w:szCs w:val="21"/>
        </w:rPr>
      </w:pPr>
      <w:r>
        <w:rPr>
          <w:rFonts w:hint="eastAsia" w:ascii="宋体" w:hAnsi="宋体"/>
          <w:szCs w:val="21"/>
        </w:rPr>
        <w:t>16.1 投标人投标时，必须以人民币提交招标文件规定数额的投标保证金，并作为其投标的一部分。</w:t>
      </w:r>
    </w:p>
    <w:p>
      <w:pPr>
        <w:spacing w:line="400" w:lineRule="exact"/>
        <w:ind w:left="105" w:leftChars="50" w:firstLine="412" w:firstLineChars="196"/>
        <w:contextualSpacing/>
        <w:rPr>
          <w:rFonts w:ascii="宋体" w:hAnsi="宋体"/>
          <w:szCs w:val="21"/>
        </w:rPr>
      </w:pPr>
      <w:r>
        <w:rPr>
          <w:rFonts w:hint="eastAsia" w:ascii="宋体" w:hAnsi="宋体"/>
          <w:szCs w:val="21"/>
        </w:rPr>
        <w:t>16.2未按招标文件要求在规定时间前交纳规定数额投标保证金的投标视为无效投标。</w:t>
      </w:r>
    </w:p>
    <w:p>
      <w:pPr>
        <w:spacing w:line="400" w:lineRule="exact"/>
        <w:ind w:left="105" w:leftChars="50" w:firstLine="412" w:firstLineChars="196"/>
        <w:contextualSpacing/>
        <w:rPr>
          <w:rFonts w:ascii="宋体" w:hAnsi="宋体"/>
          <w:szCs w:val="21"/>
        </w:rPr>
      </w:pPr>
      <w:r>
        <w:rPr>
          <w:rFonts w:hint="eastAsia" w:ascii="宋体" w:hAnsi="宋体"/>
          <w:szCs w:val="21"/>
        </w:rPr>
        <w:t>16.3 投标人所交纳的投标保证金不计利息。</w:t>
      </w:r>
    </w:p>
    <w:p>
      <w:pPr>
        <w:spacing w:line="400" w:lineRule="exact"/>
        <w:ind w:left="105" w:leftChars="50" w:firstLine="412" w:firstLineChars="196"/>
        <w:contextualSpacing/>
        <w:rPr>
          <w:rFonts w:ascii="宋体" w:hAnsi="宋体"/>
          <w:szCs w:val="21"/>
        </w:rPr>
      </w:pPr>
      <w:r>
        <w:rPr>
          <w:rFonts w:hint="eastAsia" w:ascii="宋体" w:hAnsi="宋体"/>
          <w:szCs w:val="21"/>
        </w:rPr>
        <w:t>16.4未中标人的投标保证金，将在现场如数无息全额退还。第一中标候选人的投标保证金，现场转为履约保证金。</w:t>
      </w:r>
    </w:p>
    <w:p>
      <w:pPr>
        <w:spacing w:line="400" w:lineRule="exact"/>
        <w:ind w:left="105" w:leftChars="50" w:firstLine="412" w:firstLineChars="196"/>
        <w:contextualSpacing/>
        <w:rPr>
          <w:rFonts w:ascii="宋体" w:hAnsi="宋体"/>
          <w:szCs w:val="21"/>
        </w:rPr>
      </w:pPr>
      <w:r>
        <w:rPr>
          <w:rFonts w:hint="eastAsia" w:ascii="宋体" w:hAnsi="宋体"/>
          <w:szCs w:val="21"/>
        </w:rPr>
        <w:t>16.5下列任何情况发生时，达州职业技术学院将不予退还其交纳的投标保证金：</w:t>
      </w:r>
    </w:p>
    <w:p>
      <w:pPr>
        <w:spacing w:line="400" w:lineRule="exact"/>
        <w:ind w:left="105" w:leftChars="50" w:firstLine="412" w:firstLineChars="196"/>
        <w:contextualSpacing/>
        <w:rPr>
          <w:rFonts w:ascii="宋体" w:hAnsi="宋体"/>
          <w:szCs w:val="21"/>
        </w:rPr>
      </w:pPr>
      <w:r>
        <w:rPr>
          <w:rFonts w:hint="eastAsia" w:ascii="宋体" w:hAnsi="宋体"/>
          <w:szCs w:val="21"/>
        </w:rPr>
        <w:t>（1）如果投标人在招标文件规定的投标有效期内撤回投标。</w:t>
      </w:r>
    </w:p>
    <w:p>
      <w:pPr>
        <w:spacing w:line="400" w:lineRule="exact"/>
        <w:ind w:left="105" w:leftChars="50" w:firstLine="412" w:firstLineChars="196"/>
        <w:contextualSpacing/>
        <w:rPr>
          <w:rFonts w:ascii="宋体" w:hAnsi="宋体"/>
          <w:szCs w:val="21"/>
        </w:rPr>
      </w:pPr>
      <w:r>
        <w:rPr>
          <w:rFonts w:hint="eastAsia" w:ascii="宋体" w:hAnsi="宋体"/>
          <w:szCs w:val="21"/>
        </w:rPr>
        <w:t>（2）由于中标人的原因未能按照招标文件的规定与采购人签订合同。</w:t>
      </w:r>
    </w:p>
    <w:p>
      <w:pPr>
        <w:spacing w:line="400" w:lineRule="exact"/>
        <w:ind w:left="105" w:leftChars="50" w:firstLine="420" w:firstLineChars="200"/>
        <w:contextualSpacing/>
        <w:rPr>
          <w:rFonts w:ascii="宋体" w:hAnsi="宋体"/>
          <w:szCs w:val="21"/>
        </w:rPr>
      </w:pPr>
      <w:r>
        <w:rPr>
          <w:rFonts w:hint="eastAsia" w:ascii="宋体" w:hAnsi="宋体"/>
          <w:szCs w:val="21"/>
        </w:rPr>
        <w:t>（3）由于中标人的原因未能按照招标文件的规定交纳履约保证金。</w:t>
      </w:r>
    </w:p>
    <w:p>
      <w:pPr>
        <w:spacing w:line="400" w:lineRule="exact"/>
        <w:ind w:left="130" w:leftChars="62" w:firstLine="420" w:firstLineChars="200"/>
        <w:contextualSpacing/>
        <w:rPr>
          <w:rFonts w:ascii="宋体" w:hAnsi="宋体"/>
          <w:szCs w:val="21"/>
        </w:rPr>
      </w:pPr>
      <w:r>
        <w:rPr>
          <w:rFonts w:hint="eastAsia" w:ascii="宋体" w:hAnsi="宋体"/>
          <w:szCs w:val="21"/>
        </w:rPr>
        <w:t>（4）投标有效期内，投标人在采购活动中有违规、违纪和违法的行为。</w:t>
      </w:r>
    </w:p>
    <w:p>
      <w:pPr>
        <w:spacing w:line="400" w:lineRule="exact"/>
        <w:ind w:left="130" w:leftChars="62" w:firstLine="420" w:firstLineChars="200"/>
        <w:contextualSpacing/>
        <w:rPr>
          <w:rFonts w:ascii="宋体" w:hAnsi="宋体"/>
          <w:szCs w:val="21"/>
        </w:rPr>
      </w:pPr>
      <w:r>
        <w:rPr>
          <w:rFonts w:hint="eastAsia" w:ascii="宋体" w:hAnsi="宋体"/>
          <w:szCs w:val="21"/>
        </w:rPr>
        <w:t>（5）在采购人签订合同前，中标人放弃中标资格的。</w:t>
      </w:r>
    </w:p>
    <w:p>
      <w:pPr>
        <w:spacing w:line="400" w:lineRule="exact"/>
        <w:ind w:left="105" w:leftChars="50" w:firstLine="422" w:firstLineChars="200"/>
        <w:contextualSpacing/>
        <w:rPr>
          <w:rFonts w:ascii="宋体" w:hAnsi="宋体"/>
          <w:b/>
          <w:szCs w:val="21"/>
        </w:rPr>
      </w:pPr>
      <w:bookmarkStart w:id="98" w:name="_Toc308164801"/>
      <w:bookmarkStart w:id="99" w:name="_Toc217446051"/>
      <w:bookmarkStart w:id="100" w:name="_Toc183582224"/>
      <w:bookmarkStart w:id="101" w:name="_Toc183682361"/>
      <w:r>
        <w:rPr>
          <w:rFonts w:hint="eastAsia" w:ascii="宋体" w:hAnsi="宋体"/>
          <w:b/>
          <w:szCs w:val="21"/>
        </w:rPr>
        <w:t>17．投标有效期</w:t>
      </w:r>
      <w:bookmarkEnd w:id="98"/>
      <w:bookmarkEnd w:id="99"/>
      <w:bookmarkEnd w:id="100"/>
      <w:bookmarkEnd w:id="101"/>
    </w:p>
    <w:p>
      <w:pPr>
        <w:tabs>
          <w:tab w:val="left" w:pos="7665"/>
        </w:tabs>
        <w:spacing w:line="400" w:lineRule="exact"/>
        <w:ind w:left="105" w:leftChars="50" w:firstLine="420" w:firstLineChars="200"/>
        <w:contextualSpacing/>
        <w:rPr>
          <w:rFonts w:ascii="宋体" w:hAnsi="宋体"/>
          <w:szCs w:val="21"/>
        </w:rPr>
      </w:pPr>
      <w:r>
        <w:rPr>
          <w:rFonts w:hint="eastAsia" w:ascii="宋体" w:hAnsi="宋体"/>
          <w:szCs w:val="21"/>
        </w:rPr>
        <w:t>17.1 投标有效期见投标人须知前附表。投标有效期短于此规定期限的投标，将被视为无效投标。</w:t>
      </w:r>
    </w:p>
    <w:p>
      <w:pPr>
        <w:tabs>
          <w:tab w:val="left" w:pos="7665"/>
        </w:tabs>
        <w:spacing w:line="400" w:lineRule="exact"/>
        <w:ind w:left="105" w:leftChars="50" w:firstLine="315" w:firstLineChars="150"/>
        <w:contextualSpacing/>
        <w:rPr>
          <w:rFonts w:ascii="宋体" w:hAnsi="宋体"/>
          <w:szCs w:val="21"/>
        </w:rPr>
      </w:pPr>
      <w:r>
        <w:rPr>
          <w:rFonts w:hint="eastAsia" w:ascii="宋体" w:hAnsi="宋体"/>
          <w:szCs w:val="21"/>
        </w:rPr>
        <w:t xml:space="preserve"> 17.2 特殊情况下，采购人可于投标有效期满之前要求投标人同意延长有效期，要求与答复均应为书面形式。投标人可以拒绝上述要求，其投标保证金</w:t>
      </w:r>
      <w:r>
        <w:rPr>
          <w:rFonts w:hint="eastAsia" w:ascii="宋体" w:hAnsi="宋体"/>
          <w:spacing w:val="8"/>
          <w:szCs w:val="21"/>
        </w:rPr>
        <w:t>予以退还。</w:t>
      </w:r>
      <w:r>
        <w:rPr>
          <w:rFonts w:hint="eastAsia" w:ascii="宋体" w:hAnsi="宋体"/>
          <w:szCs w:val="21"/>
        </w:rPr>
        <w:t>拒绝延长投标有效期的投标人不得再参与该项目后续采购活动。同意延长投标有效期的投标人不能修改其投标文件，关于投标保证金的有关规定在延长的投标有效期内继续有效。</w:t>
      </w:r>
    </w:p>
    <w:p>
      <w:pPr>
        <w:spacing w:line="400" w:lineRule="exact"/>
        <w:ind w:left="105" w:leftChars="50" w:firstLine="422" w:firstLineChars="200"/>
        <w:contextualSpacing/>
        <w:rPr>
          <w:rFonts w:ascii="宋体" w:hAnsi="宋体"/>
          <w:b/>
          <w:szCs w:val="21"/>
        </w:rPr>
      </w:pPr>
      <w:bookmarkStart w:id="102" w:name="_Toc217446052"/>
      <w:bookmarkStart w:id="103" w:name="_Toc183582225"/>
      <w:bookmarkStart w:id="104" w:name="_Toc183682362"/>
      <w:bookmarkStart w:id="105" w:name="_Toc308164802"/>
      <w:r>
        <w:rPr>
          <w:rFonts w:hint="eastAsia" w:ascii="宋体" w:hAnsi="宋体"/>
          <w:b/>
          <w:szCs w:val="21"/>
        </w:rPr>
        <w:t>18．投标文件的印制和签署</w:t>
      </w:r>
      <w:bookmarkEnd w:id="102"/>
      <w:bookmarkEnd w:id="103"/>
      <w:bookmarkEnd w:id="104"/>
      <w:bookmarkEnd w:id="105"/>
    </w:p>
    <w:p>
      <w:pPr>
        <w:tabs>
          <w:tab w:val="left" w:pos="1080"/>
        </w:tabs>
        <w:spacing w:line="400" w:lineRule="exact"/>
        <w:ind w:left="105" w:leftChars="50" w:firstLine="403" w:firstLineChars="192"/>
        <w:contextualSpacing/>
        <w:rPr>
          <w:rFonts w:ascii="宋体" w:hAnsi="宋体"/>
          <w:szCs w:val="21"/>
        </w:rPr>
      </w:pPr>
      <w:bookmarkStart w:id="106" w:name="_Toc183582226"/>
      <w:bookmarkStart w:id="107" w:name="_Toc89075877"/>
      <w:bookmarkStart w:id="108" w:name="_Toc183682363"/>
      <w:bookmarkStart w:id="109" w:name="_Toc77400781"/>
      <w:bookmarkStart w:id="110" w:name="_Toc308164803"/>
      <w:bookmarkStart w:id="111" w:name="_Toc217446053"/>
      <w:r>
        <w:rPr>
          <w:rFonts w:hint="eastAsia" w:ascii="宋体" w:hAnsi="宋体"/>
          <w:szCs w:val="21"/>
        </w:rPr>
        <w:t>18.1 投标人应当准备投标文件正本</w:t>
      </w:r>
      <w:r>
        <w:rPr>
          <w:rFonts w:hint="eastAsia" w:ascii="宋体" w:hAnsi="宋体"/>
          <w:b/>
          <w:szCs w:val="21"/>
          <w:u w:val="single"/>
        </w:rPr>
        <w:t>1</w:t>
      </w:r>
      <w:r>
        <w:rPr>
          <w:rFonts w:hint="eastAsia" w:ascii="宋体" w:hAnsi="宋体"/>
          <w:szCs w:val="21"/>
        </w:rPr>
        <w:t>份、副本</w:t>
      </w:r>
      <w:r>
        <w:rPr>
          <w:rFonts w:hint="eastAsia" w:ascii="宋体" w:hAnsi="宋体"/>
          <w:b/>
          <w:szCs w:val="21"/>
          <w:u w:val="single"/>
        </w:rPr>
        <w:t>2</w:t>
      </w:r>
      <w:r>
        <w:rPr>
          <w:rFonts w:hint="eastAsia" w:ascii="宋体" w:hAnsi="宋体"/>
          <w:szCs w:val="21"/>
        </w:rPr>
        <w:t>份，以及用于开标唱标单独提交的“开标一览表”（壹份）。投标文件的正本和副本应在其封面右上角清楚地标明“正本”或“副本”字样。若正本和副本有不一致的内容，以正本书面投标文件为准。</w:t>
      </w:r>
    </w:p>
    <w:p>
      <w:pPr>
        <w:tabs>
          <w:tab w:val="left" w:pos="1095"/>
        </w:tabs>
        <w:spacing w:line="400" w:lineRule="exact"/>
        <w:ind w:left="105" w:leftChars="50" w:firstLine="403" w:firstLineChars="192"/>
        <w:contextualSpacing/>
        <w:rPr>
          <w:rFonts w:ascii="宋体" w:hAnsi="宋体"/>
          <w:szCs w:val="21"/>
        </w:rPr>
      </w:pPr>
      <w:r>
        <w:rPr>
          <w:rFonts w:hint="eastAsia" w:ascii="宋体" w:hAnsi="宋体"/>
          <w:szCs w:val="21"/>
        </w:rPr>
        <w:t>18.2 投标文件的正本和副本均需打印或用不褪色、不变质的墨水书写，并由投标人的法定代表人或其授权代表在规定签章处签字和盖章。投标文件副本可采用正本的复印件。用于开标唱标单独提交的“开标一览表”应为原件。</w:t>
      </w:r>
    </w:p>
    <w:p>
      <w:pPr>
        <w:tabs>
          <w:tab w:val="left" w:pos="1095"/>
        </w:tabs>
        <w:spacing w:line="400" w:lineRule="exact"/>
        <w:ind w:left="105" w:leftChars="50" w:firstLine="403" w:firstLineChars="192"/>
        <w:contextualSpacing/>
        <w:rPr>
          <w:rFonts w:ascii="宋体" w:hAnsi="宋体"/>
          <w:szCs w:val="21"/>
        </w:rPr>
      </w:pPr>
      <w:r>
        <w:rPr>
          <w:rFonts w:hint="eastAsia" w:ascii="宋体" w:hAnsi="宋体"/>
          <w:szCs w:val="21"/>
        </w:rPr>
        <w:t>18.3投标文件应根据招标文件的要求制作，签署、盖章和内容应完整，如有遗漏，将被视为无效投标。</w:t>
      </w:r>
    </w:p>
    <w:p>
      <w:pPr>
        <w:tabs>
          <w:tab w:val="left" w:pos="1080"/>
        </w:tabs>
        <w:spacing w:line="400" w:lineRule="exact"/>
        <w:ind w:left="105" w:leftChars="50" w:firstLine="403" w:firstLineChars="192"/>
        <w:contextualSpacing/>
        <w:rPr>
          <w:rFonts w:ascii="宋体" w:hAnsi="宋体"/>
          <w:szCs w:val="21"/>
        </w:rPr>
      </w:pPr>
      <w:r>
        <w:rPr>
          <w:rFonts w:hint="eastAsia" w:ascii="宋体" w:hAnsi="宋体"/>
          <w:szCs w:val="21"/>
        </w:rPr>
        <w:t>18.4投标文件统一用A4幅面纸印制。</w:t>
      </w:r>
    </w:p>
    <w:p>
      <w:pPr>
        <w:spacing w:line="400" w:lineRule="exact"/>
        <w:ind w:left="105" w:leftChars="50" w:firstLine="422" w:firstLineChars="200"/>
        <w:contextualSpacing/>
        <w:rPr>
          <w:rFonts w:ascii="宋体" w:hAnsi="宋体"/>
          <w:b/>
          <w:szCs w:val="21"/>
        </w:rPr>
      </w:pPr>
      <w:r>
        <w:rPr>
          <w:rFonts w:hint="eastAsia" w:ascii="宋体" w:hAnsi="宋体"/>
          <w:b/>
          <w:szCs w:val="21"/>
        </w:rPr>
        <w:t>19. 投标文件的密封和标</w:t>
      </w:r>
      <w:bookmarkEnd w:id="106"/>
      <w:bookmarkEnd w:id="107"/>
      <w:bookmarkEnd w:id="108"/>
      <w:bookmarkEnd w:id="109"/>
      <w:r>
        <w:rPr>
          <w:rFonts w:hint="eastAsia" w:ascii="宋体" w:hAnsi="宋体"/>
          <w:b/>
          <w:szCs w:val="21"/>
        </w:rPr>
        <w:t>注</w:t>
      </w:r>
      <w:bookmarkEnd w:id="110"/>
      <w:bookmarkEnd w:id="111"/>
    </w:p>
    <w:p>
      <w:pPr>
        <w:tabs>
          <w:tab w:val="left" w:pos="1080"/>
        </w:tabs>
        <w:spacing w:line="400" w:lineRule="exact"/>
        <w:ind w:left="105" w:leftChars="50"/>
        <w:contextualSpacing/>
        <w:rPr>
          <w:rFonts w:ascii="宋体" w:hAnsi="宋体"/>
          <w:szCs w:val="21"/>
        </w:rPr>
      </w:pPr>
      <w:r>
        <w:rPr>
          <w:rFonts w:hint="eastAsia" w:ascii="宋体" w:hAnsi="宋体"/>
          <w:szCs w:val="21"/>
        </w:rPr>
        <w:t>19.1 投标人应在投标文件正本和所有副本的封面上注明投标人名称、招标编号、项目名称。</w:t>
      </w:r>
    </w:p>
    <w:p>
      <w:pPr>
        <w:tabs>
          <w:tab w:val="left" w:pos="1080"/>
        </w:tabs>
        <w:spacing w:line="400" w:lineRule="exact"/>
        <w:ind w:left="105" w:leftChars="50" w:firstLine="403" w:firstLineChars="192"/>
        <w:contextualSpacing/>
        <w:rPr>
          <w:rFonts w:ascii="宋体" w:hAnsi="宋体"/>
          <w:szCs w:val="21"/>
        </w:rPr>
      </w:pPr>
      <w:r>
        <w:rPr>
          <w:rFonts w:hint="eastAsia" w:ascii="宋体" w:hAnsi="宋体"/>
          <w:szCs w:val="21"/>
        </w:rPr>
        <w:t>19.2 投标文件正本、所有副本和招标文件要求单独提交的开标一览表，应分别封装于不同的密封袋内，密封袋上应分别标上“正本”、“副本”、“开标一览表”字样，并注明投标人名称、招标编号、项目名称。</w:t>
      </w:r>
    </w:p>
    <w:p>
      <w:pPr>
        <w:tabs>
          <w:tab w:val="left" w:pos="1080"/>
        </w:tabs>
        <w:spacing w:line="400" w:lineRule="exact"/>
        <w:ind w:left="105" w:leftChars="50" w:firstLine="403" w:firstLineChars="192"/>
        <w:contextualSpacing/>
        <w:rPr>
          <w:rFonts w:ascii="宋体" w:hAnsi="宋体"/>
          <w:szCs w:val="21"/>
        </w:rPr>
      </w:pPr>
      <w:r>
        <w:rPr>
          <w:rFonts w:hint="eastAsia" w:ascii="宋体" w:hAnsi="宋体"/>
          <w:szCs w:val="21"/>
        </w:rPr>
        <w:t>19.3 所有外层密封袋的封口处应粘贴牢固，并加盖密封章（投标人印章）。</w:t>
      </w:r>
    </w:p>
    <w:p>
      <w:pPr>
        <w:tabs>
          <w:tab w:val="left" w:pos="1080"/>
        </w:tabs>
        <w:spacing w:line="400" w:lineRule="exact"/>
        <w:ind w:left="105" w:leftChars="50"/>
        <w:contextualSpacing/>
        <w:rPr>
          <w:rFonts w:ascii="宋体" w:hAnsi="宋体"/>
          <w:szCs w:val="21"/>
        </w:rPr>
      </w:pPr>
      <w:r>
        <w:rPr>
          <w:rFonts w:hint="eastAsia" w:ascii="宋体" w:hAnsi="宋体"/>
          <w:szCs w:val="21"/>
        </w:rPr>
        <w:t xml:space="preserve">    19.4 未按以上要求进行密封和标注的投标文件将被拒绝。</w:t>
      </w:r>
    </w:p>
    <w:p>
      <w:pPr>
        <w:spacing w:line="400" w:lineRule="exact"/>
        <w:ind w:left="105" w:leftChars="50" w:firstLine="422" w:firstLineChars="200"/>
        <w:contextualSpacing/>
        <w:rPr>
          <w:rFonts w:ascii="宋体" w:hAnsi="宋体"/>
          <w:b/>
          <w:szCs w:val="21"/>
        </w:rPr>
      </w:pPr>
      <w:bookmarkStart w:id="112" w:name="_Toc183682364"/>
      <w:bookmarkStart w:id="113" w:name="_Toc183582227"/>
      <w:bookmarkStart w:id="114" w:name="_Toc308164804"/>
      <w:bookmarkStart w:id="115" w:name="_Toc217446054"/>
      <w:r>
        <w:rPr>
          <w:rFonts w:hint="eastAsia" w:ascii="宋体" w:hAnsi="宋体"/>
          <w:b/>
          <w:szCs w:val="21"/>
        </w:rPr>
        <w:t>20．投标文件的</w:t>
      </w:r>
      <w:bookmarkEnd w:id="112"/>
      <w:bookmarkEnd w:id="113"/>
      <w:r>
        <w:rPr>
          <w:rFonts w:hint="eastAsia" w:ascii="宋体" w:hAnsi="宋体"/>
          <w:b/>
          <w:szCs w:val="21"/>
        </w:rPr>
        <w:t>递交</w:t>
      </w:r>
      <w:bookmarkEnd w:id="114"/>
      <w:bookmarkEnd w:id="115"/>
    </w:p>
    <w:p>
      <w:pPr>
        <w:tabs>
          <w:tab w:val="left" w:pos="1095"/>
        </w:tabs>
        <w:spacing w:line="400" w:lineRule="exact"/>
        <w:ind w:left="105" w:leftChars="50" w:firstLine="403" w:firstLineChars="192"/>
        <w:contextualSpacing/>
        <w:rPr>
          <w:rFonts w:ascii="宋体" w:hAnsi="宋体"/>
          <w:szCs w:val="21"/>
        </w:rPr>
      </w:pPr>
      <w:r>
        <w:rPr>
          <w:rFonts w:hint="eastAsia" w:ascii="宋体" w:hAnsi="宋体"/>
          <w:szCs w:val="21"/>
        </w:rPr>
        <w:t>20.1 投标人应在招标文件规定的投标截止时间前，将投标文件按第二章投标人须知第19条规定密封后送达开标地点。投标截止时间以后送达的投标文件将被拒绝。</w:t>
      </w:r>
    </w:p>
    <w:p>
      <w:pPr>
        <w:tabs>
          <w:tab w:val="left" w:pos="1095"/>
        </w:tabs>
        <w:spacing w:line="400" w:lineRule="exact"/>
        <w:ind w:left="105" w:leftChars="50" w:firstLine="403" w:firstLineChars="192"/>
        <w:contextualSpacing/>
        <w:rPr>
          <w:rFonts w:ascii="宋体" w:hAnsi="宋体"/>
          <w:szCs w:val="21"/>
        </w:rPr>
      </w:pPr>
      <w:r>
        <w:rPr>
          <w:rFonts w:hint="eastAsia" w:ascii="宋体" w:hAnsi="宋体"/>
          <w:szCs w:val="21"/>
        </w:rPr>
        <w:t>20.2递交投标文件时，购买招标文件供应商名称和招标文件的文号与投标供应商名称和招标文件的文号必须一致，否则投标文件将被拒绝。</w:t>
      </w:r>
    </w:p>
    <w:p>
      <w:pPr>
        <w:spacing w:line="400" w:lineRule="exact"/>
        <w:ind w:left="105" w:leftChars="50" w:firstLine="422" w:firstLineChars="200"/>
        <w:contextualSpacing/>
        <w:rPr>
          <w:rFonts w:ascii="宋体" w:hAnsi="宋体"/>
          <w:b/>
          <w:szCs w:val="21"/>
        </w:rPr>
      </w:pPr>
      <w:bookmarkStart w:id="116" w:name="_Toc183582228"/>
      <w:bookmarkStart w:id="117" w:name="_Toc183682365"/>
      <w:bookmarkStart w:id="118" w:name="_Toc217446055"/>
      <w:bookmarkStart w:id="119" w:name="_Toc183682377"/>
      <w:bookmarkStart w:id="120" w:name="_Toc183582240"/>
      <w:r>
        <w:rPr>
          <w:rFonts w:hint="eastAsia" w:ascii="宋体" w:hAnsi="宋体"/>
          <w:b/>
          <w:szCs w:val="21"/>
        </w:rPr>
        <w:t>21．投标文件的修改和撤</w:t>
      </w:r>
      <w:bookmarkEnd w:id="116"/>
      <w:bookmarkEnd w:id="117"/>
      <w:r>
        <w:rPr>
          <w:rFonts w:hint="eastAsia" w:ascii="宋体" w:hAnsi="宋体"/>
          <w:b/>
          <w:szCs w:val="21"/>
        </w:rPr>
        <w:t>回</w:t>
      </w:r>
      <w:bookmarkEnd w:id="118"/>
    </w:p>
    <w:p>
      <w:pPr>
        <w:spacing w:line="400" w:lineRule="exact"/>
        <w:ind w:left="105" w:leftChars="50" w:firstLine="412" w:firstLineChars="196"/>
        <w:contextualSpacing/>
        <w:rPr>
          <w:rFonts w:ascii="宋体" w:hAnsi="宋体"/>
          <w:szCs w:val="21"/>
        </w:rPr>
      </w:pPr>
      <w:r>
        <w:rPr>
          <w:rFonts w:hint="eastAsia" w:ascii="宋体" w:hAnsi="宋体"/>
          <w:szCs w:val="21"/>
        </w:rPr>
        <w:t>投标人在递交了投标文件后，投标人不得对其递交的投标文件做任何修改或撤回投标。</w:t>
      </w:r>
    </w:p>
    <w:p>
      <w:pPr>
        <w:spacing w:line="400" w:lineRule="exact"/>
        <w:ind w:left="105" w:leftChars="50" w:firstLine="562" w:firstLineChars="200"/>
        <w:contextualSpacing/>
        <w:jc w:val="center"/>
        <w:rPr>
          <w:rFonts w:ascii="宋体" w:hAnsi="宋体"/>
          <w:b/>
          <w:sz w:val="28"/>
          <w:szCs w:val="28"/>
        </w:rPr>
      </w:pPr>
      <w:bookmarkStart w:id="121" w:name="_Toc89075878"/>
      <w:bookmarkStart w:id="122" w:name="_Toc183582231"/>
      <w:bookmarkStart w:id="123" w:name="_Toc77400782"/>
      <w:bookmarkStart w:id="124" w:name="_Toc308164805"/>
      <w:bookmarkStart w:id="125" w:name="_Toc183682368"/>
      <w:bookmarkStart w:id="126" w:name="_Toc217446056"/>
    </w:p>
    <w:p>
      <w:pPr>
        <w:spacing w:line="400" w:lineRule="exact"/>
        <w:ind w:left="105" w:leftChars="50" w:firstLine="562" w:firstLineChars="200"/>
        <w:contextualSpacing/>
        <w:jc w:val="center"/>
        <w:rPr>
          <w:rFonts w:ascii="宋体" w:hAnsi="宋体"/>
          <w:b/>
          <w:sz w:val="28"/>
          <w:szCs w:val="28"/>
        </w:rPr>
      </w:pPr>
      <w:r>
        <w:rPr>
          <w:rFonts w:hint="eastAsia" w:ascii="宋体" w:hAnsi="宋体"/>
          <w:b/>
          <w:sz w:val="28"/>
          <w:szCs w:val="28"/>
        </w:rPr>
        <w:t>五、开标、评审和中标</w:t>
      </w:r>
      <w:bookmarkEnd w:id="121"/>
      <w:bookmarkEnd w:id="122"/>
      <w:bookmarkEnd w:id="123"/>
      <w:bookmarkEnd w:id="124"/>
      <w:bookmarkEnd w:id="125"/>
      <w:bookmarkEnd w:id="126"/>
    </w:p>
    <w:p>
      <w:pPr>
        <w:spacing w:line="400" w:lineRule="exact"/>
        <w:ind w:left="105" w:leftChars="50" w:firstLine="422" w:firstLineChars="200"/>
        <w:contextualSpacing/>
        <w:rPr>
          <w:rFonts w:ascii="宋体" w:hAnsi="宋体"/>
          <w:b/>
          <w:szCs w:val="21"/>
        </w:rPr>
      </w:pPr>
      <w:bookmarkStart w:id="127" w:name="_Toc308164806"/>
      <w:bookmarkStart w:id="128" w:name="_Toc217446057"/>
      <w:bookmarkStart w:id="129" w:name="_Toc183682369"/>
      <w:bookmarkStart w:id="130" w:name="_Toc183582232"/>
      <w:bookmarkStart w:id="131" w:name="_Toc183682375"/>
      <w:bookmarkStart w:id="132" w:name="_Toc183582238"/>
      <w:bookmarkStart w:id="133" w:name="_Toc217446063"/>
      <w:bookmarkStart w:id="134" w:name="_Toc308164809"/>
      <w:r>
        <w:rPr>
          <w:rFonts w:hint="eastAsia" w:ascii="宋体" w:hAnsi="宋体"/>
          <w:b/>
          <w:szCs w:val="21"/>
        </w:rPr>
        <w:t>22．开标</w:t>
      </w:r>
      <w:bookmarkEnd w:id="127"/>
      <w:bookmarkEnd w:id="128"/>
      <w:bookmarkEnd w:id="129"/>
      <w:bookmarkEnd w:id="130"/>
    </w:p>
    <w:p>
      <w:pPr>
        <w:spacing w:line="400" w:lineRule="exact"/>
        <w:ind w:left="105" w:leftChars="50" w:firstLine="420" w:firstLineChars="200"/>
        <w:contextualSpacing/>
        <w:rPr>
          <w:rFonts w:ascii="宋体" w:hAnsi="宋体"/>
          <w:szCs w:val="21"/>
        </w:rPr>
      </w:pPr>
      <w:r>
        <w:rPr>
          <w:rFonts w:hint="eastAsia" w:ascii="宋体" w:hAnsi="宋体"/>
          <w:szCs w:val="21"/>
        </w:rPr>
        <w:t>22.1 开标在招标文件规定的时间和地点公开进行，投标人须派代表参加并签到以证明其出席。</w:t>
      </w:r>
    </w:p>
    <w:p>
      <w:pPr>
        <w:spacing w:line="400" w:lineRule="exact"/>
        <w:ind w:left="105" w:leftChars="50" w:firstLine="420" w:firstLineChars="200"/>
        <w:contextualSpacing/>
        <w:rPr>
          <w:rFonts w:ascii="宋体" w:hAnsi="宋体"/>
          <w:szCs w:val="21"/>
        </w:rPr>
      </w:pPr>
      <w:r>
        <w:rPr>
          <w:rFonts w:hint="eastAsia" w:ascii="宋体" w:hAnsi="宋体"/>
          <w:szCs w:val="21"/>
        </w:rPr>
        <w:t>22.2 开标时，将邀请有关监督管理部门对开标活动进行现场监督。</w:t>
      </w:r>
    </w:p>
    <w:p>
      <w:pPr>
        <w:spacing w:line="400" w:lineRule="exact"/>
        <w:ind w:left="105" w:leftChars="50" w:firstLine="420" w:firstLineChars="200"/>
        <w:contextualSpacing/>
        <w:rPr>
          <w:rFonts w:ascii="宋体" w:hAnsi="宋体"/>
          <w:szCs w:val="21"/>
        </w:rPr>
      </w:pPr>
      <w:r>
        <w:rPr>
          <w:rFonts w:hint="eastAsia" w:ascii="宋体" w:hAnsi="宋体"/>
          <w:szCs w:val="21"/>
        </w:rPr>
        <w:t>22.3 开标时，由投标人或者其推选的代表检查投标文件的密封情况，经确认无误后，由招标工作人员将投标人单独递交的“开标一览表”当众拆封，并由唱标人员按照招标文件规定的内容进行宣读。</w:t>
      </w:r>
    </w:p>
    <w:p>
      <w:pPr>
        <w:spacing w:line="400" w:lineRule="exact"/>
        <w:ind w:left="105" w:leftChars="50" w:firstLine="420" w:firstLineChars="200"/>
        <w:contextualSpacing/>
        <w:rPr>
          <w:rFonts w:ascii="宋体" w:hAnsi="宋体"/>
          <w:szCs w:val="21"/>
        </w:rPr>
      </w:pPr>
      <w:r>
        <w:rPr>
          <w:rFonts w:hint="eastAsia" w:ascii="宋体" w:hAnsi="宋体"/>
          <w:szCs w:val="21"/>
        </w:rPr>
        <w:t>22.4 开标时，“开标一览表”中的大写金额与小写金额不一致的，以大写金额为准；总价金额与按单价计算的汇总金额不一致的，以单价计算的汇总金额为准；单价金额有明显小数点错误的，以总价为准，并修改单价。</w:t>
      </w:r>
    </w:p>
    <w:p>
      <w:pPr>
        <w:spacing w:line="400" w:lineRule="exact"/>
        <w:ind w:left="105" w:leftChars="50" w:firstLine="420" w:firstLineChars="200"/>
        <w:contextualSpacing/>
        <w:rPr>
          <w:rFonts w:ascii="宋体" w:hAnsi="宋体"/>
          <w:bCs/>
          <w:szCs w:val="21"/>
        </w:rPr>
      </w:pPr>
      <w:r>
        <w:rPr>
          <w:rFonts w:hint="eastAsia" w:ascii="宋体" w:hAnsi="宋体"/>
          <w:szCs w:val="21"/>
        </w:rPr>
        <w:t>22.5 投标文件中有关明细表内容与“开标一览表”不一致的，以“开标一览表”为准。对不同文字文本投标文件的解释发生异议的，以中文文本为准。</w:t>
      </w:r>
    </w:p>
    <w:p>
      <w:pPr>
        <w:spacing w:line="400" w:lineRule="exact"/>
        <w:ind w:left="105" w:leftChars="50" w:firstLine="420" w:firstLineChars="200"/>
        <w:contextualSpacing/>
        <w:rPr>
          <w:rFonts w:ascii="宋体" w:hAnsi="宋体"/>
          <w:szCs w:val="21"/>
        </w:rPr>
      </w:pPr>
      <w:r>
        <w:rPr>
          <w:rFonts w:hint="eastAsia" w:ascii="宋体" w:hAnsi="宋体"/>
          <w:szCs w:val="21"/>
        </w:rPr>
        <w:t>22.6 所有投标唱标完毕，如投标人代表对宣读的“开标一览表”上的内容有异议的，应在获得开标会主持人同意后当场提出。如确实属于唱标人员宣读错了的，经现场监督人员核实后，当场予以更正。</w:t>
      </w:r>
    </w:p>
    <w:p>
      <w:pPr>
        <w:spacing w:line="400" w:lineRule="exact"/>
        <w:ind w:left="105" w:leftChars="50" w:firstLine="420" w:firstLineChars="200"/>
        <w:contextualSpacing/>
        <w:rPr>
          <w:rFonts w:ascii="宋体" w:hAnsi="宋体"/>
          <w:b/>
          <w:szCs w:val="21"/>
        </w:rPr>
      </w:pPr>
      <w:r>
        <w:rPr>
          <w:rFonts w:hint="eastAsia" w:ascii="宋体" w:hAnsi="宋体"/>
          <w:szCs w:val="21"/>
        </w:rPr>
        <w:t>22.7单独提交的“开标一览表”未按格式要求签字、盖章的将作为无效投标处理。</w:t>
      </w:r>
    </w:p>
    <w:p>
      <w:pPr>
        <w:spacing w:line="400" w:lineRule="exact"/>
        <w:ind w:left="105" w:leftChars="50" w:firstLine="422" w:firstLineChars="200"/>
        <w:contextualSpacing/>
        <w:rPr>
          <w:rFonts w:ascii="宋体" w:hAnsi="宋体"/>
          <w:b/>
          <w:szCs w:val="21"/>
        </w:rPr>
      </w:pPr>
      <w:bookmarkStart w:id="135" w:name="_Toc217446058"/>
      <w:bookmarkStart w:id="136" w:name="_Toc308164807"/>
      <w:r>
        <w:rPr>
          <w:rFonts w:hint="eastAsia" w:ascii="宋体" w:hAnsi="宋体"/>
          <w:b/>
          <w:szCs w:val="21"/>
        </w:rPr>
        <w:t>23. 开标程序</w:t>
      </w:r>
      <w:bookmarkEnd w:id="135"/>
      <w:bookmarkEnd w:id="136"/>
    </w:p>
    <w:p>
      <w:pPr>
        <w:spacing w:line="400" w:lineRule="exact"/>
        <w:ind w:left="105" w:leftChars="50" w:firstLine="403" w:firstLineChars="192"/>
        <w:contextualSpacing/>
        <w:rPr>
          <w:rFonts w:ascii="宋体" w:hAnsi="宋体"/>
          <w:b/>
          <w:bCs/>
          <w:szCs w:val="21"/>
        </w:rPr>
      </w:pPr>
      <w:r>
        <w:rPr>
          <w:rFonts w:hint="eastAsia" w:ascii="宋体" w:hAnsi="宋体"/>
          <w:szCs w:val="21"/>
        </w:rPr>
        <w:t>开标会主持人按照招标文件规定的开标时间宣布开标，按照规定要求主持开标会。开标将按以下程序进行：</w:t>
      </w:r>
    </w:p>
    <w:p>
      <w:pPr>
        <w:spacing w:line="400" w:lineRule="exact"/>
        <w:ind w:left="105" w:leftChars="50" w:firstLine="420" w:firstLineChars="200"/>
        <w:contextualSpacing/>
        <w:rPr>
          <w:rFonts w:ascii="宋体" w:hAnsi="宋体"/>
          <w:szCs w:val="21"/>
        </w:rPr>
      </w:pPr>
      <w:r>
        <w:rPr>
          <w:rFonts w:hint="eastAsia" w:ascii="宋体" w:hAnsi="宋体"/>
          <w:szCs w:val="21"/>
        </w:rPr>
        <w:t>（1）宣布开标会开始。当众宣布参加开标会的现场监督人员和主持人、唱标、会议记录等工作人员，根据“供应商签到表”宣布参加投标的供应商名单。</w:t>
      </w:r>
    </w:p>
    <w:p>
      <w:pPr>
        <w:spacing w:line="400" w:lineRule="exact"/>
        <w:ind w:left="105" w:leftChars="50" w:firstLine="420" w:firstLineChars="200"/>
        <w:contextualSpacing/>
        <w:rPr>
          <w:rFonts w:ascii="宋体" w:hAnsi="宋体"/>
          <w:szCs w:val="21"/>
        </w:rPr>
      </w:pPr>
      <w:r>
        <w:rPr>
          <w:rFonts w:hint="eastAsia" w:ascii="宋体" w:hAnsi="宋体"/>
          <w:szCs w:val="21"/>
        </w:rPr>
        <w:t>（2）根据投标人或者其推选的代表对投标文件密封的检查，当众宣布投标文件的密封情况。</w:t>
      </w:r>
    </w:p>
    <w:p>
      <w:pPr>
        <w:spacing w:line="400" w:lineRule="exact"/>
        <w:ind w:left="105" w:leftChars="50" w:firstLine="403" w:firstLineChars="192"/>
        <w:contextualSpacing/>
        <w:rPr>
          <w:rFonts w:ascii="宋体" w:hAnsi="宋体"/>
          <w:szCs w:val="21"/>
        </w:rPr>
      </w:pPr>
      <w:r>
        <w:rPr>
          <w:rFonts w:hint="eastAsia" w:ascii="宋体" w:hAnsi="宋体"/>
          <w:szCs w:val="21"/>
        </w:rPr>
        <w:t>（3）开标唱标。主持人宣布开标后，由现场工作人员按任意顺序对投标人的“开标一览表”当众进行拆封，由唱标人员对其“开标一览表”的项目名称、投标产品的规格型号、投标总价以及投标人名称进行宣读。唱标人员在唱标过程中，如遇有字迹不清楚的，应即刻报告主持人，经现场监督人员核实后，主持人立即请投标人代表现场进行澄清。</w:t>
      </w:r>
    </w:p>
    <w:p>
      <w:pPr>
        <w:spacing w:line="400" w:lineRule="exact"/>
        <w:ind w:left="105" w:leftChars="50" w:firstLine="403" w:firstLineChars="192"/>
        <w:contextualSpacing/>
        <w:rPr>
          <w:rFonts w:ascii="宋体" w:hAnsi="宋体"/>
          <w:szCs w:val="21"/>
        </w:rPr>
      </w:pPr>
      <w:r>
        <w:rPr>
          <w:rFonts w:hint="eastAsia" w:ascii="宋体" w:hAnsi="宋体"/>
          <w:szCs w:val="21"/>
        </w:rPr>
        <w:t>（4）宣布开标会结束。主持人宣布开标会结束后，所有投标人代表应立即退场。</w:t>
      </w:r>
    </w:p>
    <w:p>
      <w:pPr>
        <w:spacing w:line="400" w:lineRule="exact"/>
        <w:ind w:left="105" w:leftChars="50" w:firstLine="403" w:firstLineChars="192"/>
        <w:contextualSpacing/>
        <w:rPr>
          <w:rFonts w:ascii="宋体" w:hAnsi="宋体"/>
          <w:szCs w:val="21"/>
        </w:rPr>
      </w:pPr>
      <w:r>
        <w:rPr>
          <w:rFonts w:hint="eastAsia" w:ascii="宋体" w:hAnsi="宋体"/>
          <w:szCs w:val="21"/>
        </w:rPr>
        <w:t>（5）</w:t>
      </w:r>
      <w:r>
        <w:rPr>
          <w:rFonts w:hint="eastAsia" w:ascii="宋体" w:hAnsi="宋体"/>
          <w:bCs/>
          <w:szCs w:val="21"/>
        </w:rPr>
        <w:t>开标过程由达州职业技术学院监审处全程监督。</w:t>
      </w:r>
    </w:p>
    <w:p>
      <w:pPr>
        <w:spacing w:line="400" w:lineRule="exact"/>
        <w:ind w:left="105" w:leftChars="50" w:firstLine="422" w:firstLineChars="200"/>
        <w:contextualSpacing/>
        <w:rPr>
          <w:rFonts w:ascii="宋体" w:hAnsi="宋体"/>
          <w:b/>
          <w:szCs w:val="21"/>
        </w:rPr>
      </w:pPr>
      <w:r>
        <w:rPr>
          <w:rFonts w:hint="eastAsia" w:ascii="宋体" w:hAnsi="宋体"/>
          <w:b/>
          <w:szCs w:val="21"/>
        </w:rPr>
        <w:t>24．评审</w:t>
      </w:r>
    </w:p>
    <w:p>
      <w:pPr>
        <w:spacing w:line="400" w:lineRule="exact"/>
        <w:ind w:left="105" w:leftChars="50" w:firstLine="420" w:firstLineChars="200"/>
        <w:contextualSpacing/>
        <w:rPr>
          <w:rFonts w:ascii="宋体" w:hAnsi="宋体"/>
          <w:szCs w:val="21"/>
        </w:rPr>
      </w:pPr>
      <w:r>
        <w:rPr>
          <w:rFonts w:hint="eastAsia" w:ascii="宋体" w:hAnsi="宋体"/>
          <w:szCs w:val="21"/>
        </w:rPr>
        <w:t>评审专家由招标人按照相关规定临时指派；评审结果形成后立即召集投标单位现场宣布。</w:t>
      </w:r>
    </w:p>
    <w:p>
      <w:pPr>
        <w:spacing w:line="400" w:lineRule="exact"/>
        <w:ind w:left="105" w:leftChars="50" w:firstLine="422" w:firstLineChars="200"/>
        <w:contextualSpacing/>
        <w:rPr>
          <w:rFonts w:ascii="宋体" w:hAnsi="宋体"/>
          <w:b/>
          <w:szCs w:val="21"/>
        </w:rPr>
      </w:pPr>
      <w:r>
        <w:rPr>
          <w:rFonts w:hint="eastAsia" w:ascii="宋体" w:hAnsi="宋体"/>
          <w:b/>
          <w:szCs w:val="21"/>
        </w:rPr>
        <w:t>25.中标通知</w:t>
      </w:r>
      <w:bookmarkEnd w:id="131"/>
      <w:bookmarkEnd w:id="132"/>
      <w:r>
        <w:rPr>
          <w:rFonts w:hint="eastAsia" w:ascii="宋体" w:hAnsi="宋体"/>
          <w:b/>
          <w:szCs w:val="21"/>
        </w:rPr>
        <w:t>书</w:t>
      </w:r>
      <w:bookmarkEnd w:id="133"/>
      <w:bookmarkEnd w:id="134"/>
    </w:p>
    <w:p>
      <w:pPr>
        <w:tabs>
          <w:tab w:val="left" w:pos="7665"/>
        </w:tabs>
        <w:spacing w:line="400" w:lineRule="exact"/>
        <w:ind w:left="105" w:leftChars="50" w:firstLine="420" w:firstLineChars="200"/>
        <w:contextualSpacing/>
        <w:rPr>
          <w:rFonts w:ascii="宋体" w:hAnsi="宋体"/>
          <w:szCs w:val="21"/>
        </w:rPr>
      </w:pPr>
      <w:r>
        <w:rPr>
          <w:rFonts w:hint="eastAsia" w:ascii="宋体" w:hAnsi="宋体"/>
          <w:szCs w:val="21"/>
        </w:rPr>
        <w:t>25</w:t>
      </w:r>
      <w:r>
        <w:rPr>
          <w:rFonts w:hint="eastAsia" w:ascii="宋体" w:hAnsi="宋体"/>
          <w:b/>
          <w:bCs/>
          <w:szCs w:val="21"/>
        </w:rPr>
        <w:t>.</w:t>
      </w:r>
      <w:r>
        <w:rPr>
          <w:rFonts w:hint="eastAsia" w:ascii="宋体" w:hAnsi="宋体"/>
          <w:szCs w:val="21"/>
        </w:rPr>
        <w:t>1 中标通知书为签订采购合同的依据，是合同的有效组成部分。</w:t>
      </w:r>
    </w:p>
    <w:p>
      <w:pPr>
        <w:tabs>
          <w:tab w:val="left" w:pos="7665"/>
        </w:tabs>
        <w:spacing w:line="400" w:lineRule="exact"/>
        <w:ind w:left="105" w:leftChars="50" w:firstLine="420" w:firstLineChars="200"/>
        <w:contextualSpacing/>
        <w:rPr>
          <w:rFonts w:ascii="宋体" w:hAnsi="宋体"/>
          <w:szCs w:val="21"/>
        </w:rPr>
      </w:pPr>
      <w:r>
        <w:rPr>
          <w:rFonts w:hint="eastAsia" w:ascii="宋体" w:hAnsi="宋体"/>
          <w:szCs w:val="21"/>
        </w:rPr>
        <w:t>25.2 中标通知书对采购人和中标人均具有法律效力。中标通知书发出后，采购人改变中标结果，或者中标人无正当理由放弃中标的，应当承担相应的法律责任。</w:t>
      </w:r>
    </w:p>
    <w:p>
      <w:pPr>
        <w:tabs>
          <w:tab w:val="left" w:pos="7665"/>
        </w:tabs>
        <w:spacing w:line="400" w:lineRule="exact"/>
        <w:ind w:left="105" w:leftChars="50" w:firstLine="480"/>
        <w:contextualSpacing/>
        <w:rPr>
          <w:rFonts w:ascii="宋体" w:hAnsi="宋体"/>
          <w:szCs w:val="21"/>
        </w:rPr>
      </w:pPr>
      <w:r>
        <w:rPr>
          <w:rFonts w:hint="eastAsia" w:ascii="宋体" w:hAnsi="宋体"/>
          <w:szCs w:val="21"/>
        </w:rPr>
        <w:t>25.3中标人的投标文件本应作为无效投标处理或者有采购法律法规规章制度规定的中标无效情形的，达州职业技术学院一旦认定以后，将宣布发出的中标通知书无效，并收回发出的中标通知书（中标人也应当缴回），依法重新确定中标人或者重新开展采购活动。</w:t>
      </w:r>
    </w:p>
    <w:p>
      <w:pPr>
        <w:spacing w:line="400" w:lineRule="exact"/>
        <w:ind w:left="105" w:leftChars="50" w:firstLine="562" w:firstLineChars="200"/>
        <w:contextualSpacing/>
        <w:jc w:val="center"/>
        <w:rPr>
          <w:rFonts w:ascii="宋体" w:hAnsi="宋体"/>
          <w:b/>
          <w:sz w:val="28"/>
          <w:szCs w:val="28"/>
        </w:rPr>
      </w:pPr>
      <w:bookmarkStart w:id="137" w:name="_Toc308164810"/>
      <w:bookmarkStart w:id="138" w:name="_Toc217446064"/>
    </w:p>
    <w:p>
      <w:pPr>
        <w:spacing w:line="400" w:lineRule="exact"/>
        <w:ind w:left="105" w:leftChars="50" w:firstLine="562" w:firstLineChars="200"/>
        <w:contextualSpacing/>
        <w:jc w:val="center"/>
        <w:rPr>
          <w:rFonts w:ascii="宋体" w:hAnsi="宋体"/>
          <w:b/>
          <w:sz w:val="28"/>
          <w:szCs w:val="28"/>
        </w:rPr>
      </w:pPr>
      <w:r>
        <w:rPr>
          <w:rFonts w:hint="eastAsia" w:ascii="宋体" w:hAnsi="宋体"/>
          <w:b/>
          <w:sz w:val="28"/>
          <w:szCs w:val="28"/>
        </w:rPr>
        <w:t>六、签订及履行合同和验收</w:t>
      </w:r>
      <w:bookmarkEnd w:id="137"/>
      <w:bookmarkEnd w:id="138"/>
    </w:p>
    <w:p>
      <w:pPr>
        <w:spacing w:line="400" w:lineRule="exact"/>
        <w:ind w:left="105" w:leftChars="50" w:firstLine="422" w:firstLineChars="200"/>
        <w:contextualSpacing/>
        <w:rPr>
          <w:rFonts w:ascii="宋体" w:hAnsi="宋体"/>
          <w:b/>
          <w:szCs w:val="21"/>
        </w:rPr>
      </w:pPr>
      <w:bookmarkStart w:id="139" w:name="_Toc308164811"/>
      <w:bookmarkStart w:id="140" w:name="_Toc217446065"/>
      <w:r>
        <w:rPr>
          <w:rFonts w:hint="eastAsia" w:ascii="宋体" w:hAnsi="宋体"/>
          <w:b/>
          <w:szCs w:val="21"/>
        </w:rPr>
        <w:t>26. 签订合同</w:t>
      </w:r>
      <w:bookmarkEnd w:id="139"/>
      <w:bookmarkEnd w:id="140"/>
    </w:p>
    <w:p>
      <w:pPr>
        <w:spacing w:line="400" w:lineRule="exact"/>
        <w:ind w:left="105" w:leftChars="50" w:firstLine="420" w:firstLineChars="200"/>
        <w:contextualSpacing/>
        <w:rPr>
          <w:rFonts w:ascii="宋体" w:hAnsi="宋体"/>
          <w:szCs w:val="21"/>
        </w:rPr>
      </w:pPr>
      <w:r>
        <w:rPr>
          <w:rFonts w:hint="eastAsia" w:ascii="宋体" w:hAnsi="宋体"/>
          <w:szCs w:val="21"/>
        </w:rPr>
        <w:t>26.1 中标人应在《中标通知书》发出之日起3日内与采购人签订采购合同。由于中标人的原因逾期未与采购人签订采购合同的，将视为放弃中标，取消其中标资格并将按相关规定进行处理。</w:t>
      </w:r>
    </w:p>
    <w:p>
      <w:pPr>
        <w:spacing w:line="400" w:lineRule="exact"/>
        <w:ind w:left="105" w:leftChars="50" w:firstLine="368" w:firstLineChars="175"/>
        <w:contextualSpacing/>
        <w:rPr>
          <w:rFonts w:ascii="宋体" w:hAnsi="宋体"/>
          <w:szCs w:val="21"/>
        </w:rPr>
      </w:pPr>
      <w:r>
        <w:rPr>
          <w:rFonts w:hint="eastAsia" w:ascii="宋体" w:hAnsi="宋体"/>
          <w:szCs w:val="21"/>
        </w:rPr>
        <w:t>26.2中标人因不可抗力原因不能履行采购合同或放弃中标的，采购人可以与排在中标人之后第一位的中标候选人签订采购合同，以此类推。</w:t>
      </w:r>
    </w:p>
    <w:p>
      <w:pPr>
        <w:spacing w:line="400" w:lineRule="exact"/>
        <w:ind w:left="105" w:leftChars="50" w:firstLine="422" w:firstLineChars="200"/>
        <w:contextualSpacing/>
        <w:rPr>
          <w:rFonts w:ascii="宋体" w:hAnsi="宋体"/>
          <w:b/>
          <w:szCs w:val="21"/>
        </w:rPr>
      </w:pPr>
      <w:r>
        <w:rPr>
          <w:rFonts w:hint="eastAsia" w:ascii="宋体" w:hAnsi="宋体"/>
          <w:b/>
          <w:szCs w:val="21"/>
        </w:rPr>
        <w:t>27. 合同分包</w:t>
      </w:r>
    </w:p>
    <w:p>
      <w:pPr>
        <w:spacing w:line="400" w:lineRule="exact"/>
        <w:ind w:left="105" w:leftChars="50" w:firstLine="420" w:firstLineChars="200"/>
        <w:contextualSpacing/>
        <w:rPr>
          <w:rFonts w:ascii="宋体" w:hAnsi="宋体"/>
          <w:szCs w:val="21"/>
        </w:rPr>
      </w:pPr>
      <w:r>
        <w:rPr>
          <w:rFonts w:hint="eastAsia" w:ascii="宋体" w:hAnsi="宋体"/>
          <w:szCs w:val="21"/>
        </w:rPr>
        <w:t>本项目中标单位不准采取合同分包。</w:t>
      </w:r>
    </w:p>
    <w:p>
      <w:pPr>
        <w:spacing w:line="400" w:lineRule="exact"/>
        <w:ind w:firstLine="517" w:firstLineChars="245"/>
        <w:rPr>
          <w:rFonts w:ascii="宋体" w:hAnsi="宋体"/>
          <w:b/>
          <w:szCs w:val="21"/>
        </w:rPr>
      </w:pPr>
      <w:bookmarkStart w:id="141" w:name="_Toc217446066"/>
      <w:r>
        <w:rPr>
          <w:rFonts w:hint="eastAsia" w:ascii="宋体" w:hAnsi="宋体"/>
          <w:b/>
          <w:szCs w:val="21"/>
        </w:rPr>
        <w:t>28.</w:t>
      </w:r>
      <w:bookmarkStart w:id="142" w:name="_Toc217446067"/>
      <w:bookmarkEnd w:id="141"/>
      <w:r>
        <w:rPr>
          <w:rFonts w:hint="eastAsia" w:ascii="宋体" w:hAnsi="宋体"/>
          <w:b/>
          <w:szCs w:val="21"/>
        </w:rPr>
        <w:t>采购人增加合同标的权</w:t>
      </w:r>
      <w:bookmarkEnd w:id="142"/>
      <w:r>
        <w:rPr>
          <w:rFonts w:hint="eastAsia" w:ascii="宋体" w:hAnsi="宋体"/>
          <w:b/>
          <w:szCs w:val="21"/>
        </w:rPr>
        <w:t>利</w:t>
      </w:r>
    </w:p>
    <w:p>
      <w:pPr>
        <w:spacing w:line="400" w:lineRule="exact"/>
        <w:ind w:left="105" w:leftChars="50" w:firstLine="495"/>
        <w:contextualSpacing/>
        <w:rPr>
          <w:rFonts w:ascii="宋体" w:hAnsi="宋体"/>
          <w:szCs w:val="21"/>
        </w:rPr>
      </w:pPr>
      <w:r>
        <w:rPr>
          <w:rFonts w:hint="eastAsia" w:ascii="宋体" w:hAnsi="宋体"/>
          <w:szCs w:val="21"/>
        </w:rPr>
        <w:t>采购合同履行过程中，采购人需要追加与合同标的相同的货物或者服务的，在不改变合同其他条款的前提下，可以与中标供应商协商签订补充合同。</w:t>
      </w:r>
    </w:p>
    <w:p>
      <w:pPr>
        <w:spacing w:line="400" w:lineRule="exact"/>
        <w:ind w:left="105" w:leftChars="50" w:firstLine="422" w:firstLineChars="200"/>
        <w:contextualSpacing/>
        <w:rPr>
          <w:rFonts w:ascii="宋体" w:hAnsi="宋体"/>
          <w:b/>
          <w:szCs w:val="21"/>
        </w:rPr>
      </w:pPr>
      <w:bookmarkStart w:id="143" w:name="_Toc308164812"/>
      <w:bookmarkStart w:id="144" w:name="_Toc217446068"/>
      <w:r>
        <w:rPr>
          <w:rFonts w:hint="eastAsia" w:ascii="宋体" w:hAnsi="宋体"/>
          <w:b/>
          <w:szCs w:val="21"/>
        </w:rPr>
        <w:t>29. 履约保证金</w:t>
      </w:r>
      <w:bookmarkEnd w:id="143"/>
      <w:bookmarkEnd w:id="144"/>
    </w:p>
    <w:p>
      <w:pPr>
        <w:spacing w:line="400" w:lineRule="exact"/>
        <w:ind w:left="105" w:leftChars="50" w:firstLine="420" w:firstLineChars="200"/>
        <w:contextualSpacing/>
        <w:rPr>
          <w:rFonts w:ascii="宋体" w:hAnsi="宋体"/>
          <w:b/>
          <w:szCs w:val="21"/>
        </w:rPr>
      </w:pPr>
      <w:r>
        <w:rPr>
          <w:rFonts w:hint="eastAsia" w:ascii="宋体" w:hAnsi="宋体"/>
          <w:szCs w:val="21"/>
        </w:rPr>
        <w:t>29.1 中标人应在合同签订之前交纳招标文件规定数额的履约保证金。</w:t>
      </w:r>
    </w:p>
    <w:p>
      <w:pPr>
        <w:spacing w:line="400" w:lineRule="exact"/>
        <w:ind w:left="105" w:leftChars="50" w:firstLine="420" w:firstLineChars="200"/>
        <w:contextualSpacing/>
        <w:rPr>
          <w:rFonts w:ascii="宋体" w:hAnsi="宋体"/>
          <w:szCs w:val="21"/>
        </w:rPr>
      </w:pPr>
      <w:r>
        <w:rPr>
          <w:rFonts w:hint="eastAsia" w:ascii="宋体" w:hAnsi="宋体"/>
          <w:szCs w:val="21"/>
        </w:rPr>
        <w:t>29.2 如果中标人在规定的合同签订时间内，没有按照招标文件的规定交纳履约保证金，且又无正当理由的，将视为放弃中标，其交纳的投标保证金将不与退还。</w:t>
      </w:r>
    </w:p>
    <w:bookmarkEnd w:id="119"/>
    <w:bookmarkEnd w:id="120"/>
    <w:p>
      <w:pPr>
        <w:spacing w:line="400" w:lineRule="exact"/>
        <w:ind w:left="105" w:leftChars="50" w:firstLine="422" w:firstLineChars="200"/>
        <w:contextualSpacing/>
        <w:rPr>
          <w:rFonts w:ascii="宋体" w:hAnsi="宋体"/>
          <w:b/>
          <w:szCs w:val="21"/>
        </w:rPr>
      </w:pPr>
      <w:bookmarkStart w:id="145" w:name="_Toc308164813"/>
      <w:bookmarkStart w:id="146" w:name="_Toc217446069"/>
      <w:bookmarkStart w:id="147" w:name="_Toc217446078"/>
      <w:bookmarkStart w:id="148" w:name="_Toc183682380"/>
      <w:bookmarkStart w:id="149" w:name="_Toc183582243"/>
      <w:r>
        <w:rPr>
          <w:rFonts w:hint="eastAsia" w:ascii="宋体" w:hAnsi="宋体"/>
          <w:b/>
          <w:szCs w:val="21"/>
        </w:rPr>
        <w:t>30. 履行合同</w:t>
      </w:r>
      <w:bookmarkEnd w:id="145"/>
      <w:bookmarkEnd w:id="146"/>
    </w:p>
    <w:p>
      <w:pPr>
        <w:spacing w:line="400" w:lineRule="exact"/>
        <w:ind w:left="105" w:leftChars="50"/>
        <w:contextualSpacing/>
        <w:rPr>
          <w:rFonts w:ascii="宋体" w:hAnsi="宋体"/>
          <w:szCs w:val="21"/>
        </w:rPr>
      </w:pPr>
      <w:r>
        <w:rPr>
          <w:rFonts w:hint="eastAsia" w:ascii="宋体" w:hAnsi="宋体"/>
          <w:szCs w:val="21"/>
        </w:rPr>
        <w:t xml:space="preserve">    30.1 中标人与采购人签订合同后，合同双方应严格执行合同条款，履行合同规定的义务，保证合同的顺利完成。</w:t>
      </w:r>
    </w:p>
    <w:p>
      <w:pPr>
        <w:spacing w:line="400" w:lineRule="exact"/>
        <w:ind w:left="105" w:leftChars="50"/>
        <w:contextualSpacing/>
        <w:rPr>
          <w:rFonts w:ascii="宋体" w:hAnsi="宋体"/>
          <w:szCs w:val="21"/>
        </w:rPr>
      </w:pPr>
      <w:r>
        <w:rPr>
          <w:rFonts w:hint="eastAsia" w:ascii="宋体" w:hAnsi="宋体"/>
          <w:szCs w:val="21"/>
        </w:rPr>
        <w:t xml:space="preserve">    30.2 在合同履行过程中，如发生合同纠纷，合同双方应按照《合同法》的有关规定进行处理。</w:t>
      </w:r>
    </w:p>
    <w:p>
      <w:pPr>
        <w:spacing w:line="400" w:lineRule="exact"/>
        <w:ind w:left="105" w:leftChars="50" w:firstLine="422" w:firstLineChars="200"/>
        <w:contextualSpacing/>
        <w:rPr>
          <w:rFonts w:ascii="宋体" w:hAnsi="宋体"/>
          <w:b/>
          <w:szCs w:val="21"/>
        </w:rPr>
      </w:pPr>
      <w:bookmarkStart w:id="150" w:name="_Toc308164814"/>
      <w:bookmarkStart w:id="151" w:name="_Toc217446070"/>
      <w:r>
        <w:rPr>
          <w:rFonts w:hint="eastAsia" w:ascii="宋体" w:hAnsi="宋体"/>
          <w:b/>
          <w:szCs w:val="21"/>
        </w:rPr>
        <w:t>31. 验收</w:t>
      </w:r>
      <w:bookmarkEnd w:id="150"/>
      <w:bookmarkEnd w:id="151"/>
    </w:p>
    <w:p>
      <w:pPr>
        <w:pStyle w:val="4"/>
        <w:spacing w:line="400" w:lineRule="exact"/>
        <w:ind w:left="105" w:leftChars="50" w:firstLine="480"/>
        <w:contextualSpacing/>
        <w:rPr>
          <w:rFonts w:ascii="宋体" w:hAnsi="宋体"/>
          <w:szCs w:val="21"/>
        </w:rPr>
      </w:pPr>
      <w:r>
        <w:rPr>
          <w:rFonts w:hint="eastAsia" w:ascii="宋体" w:hAnsi="宋体"/>
          <w:szCs w:val="21"/>
        </w:rPr>
        <w:t>货物交付使用时，由中标人在货物送达的前一天提出验收申请，学院国资基建处按照学院相关规定组织相关部门在使用前按要求予以验收，并出具验收报告。如因中标人没有提前通知或其他原因造成不能及时验收的，由此造成的一切损失概由中标人承担全部责任。</w:t>
      </w:r>
    </w:p>
    <w:p>
      <w:pPr>
        <w:spacing w:line="400" w:lineRule="exact"/>
        <w:ind w:left="105" w:leftChars="50" w:firstLine="562" w:firstLineChars="200"/>
        <w:contextualSpacing/>
        <w:jc w:val="center"/>
        <w:rPr>
          <w:rFonts w:ascii="宋体" w:hAnsi="宋体"/>
          <w:b/>
          <w:sz w:val="28"/>
          <w:szCs w:val="28"/>
        </w:rPr>
      </w:pPr>
      <w:bookmarkStart w:id="152" w:name="_Toc308164815"/>
      <w:bookmarkStart w:id="153" w:name="_Toc217446074"/>
    </w:p>
    <w:p>
      <w:pPr>
        <w:spacing w:line="400" w:lineRule="exact"/>
        <w:ind w:left="105" w:leftChars="50" w:firstLine="562" w:firstLineChars="200"/>
        <w:contextualSpacing/>
        <w:jc w:val="center"/>
        <w:rPr>
          <w:rFonts w:ascii="宋体" w:hAnsi="宋体"/>
          <w:b/>
          <w:sz w:val="28"/>
          <w:szCs w:val="28"/>
        </w:rPr>
      </w:pPr>
      <w:r>
        <w:rPr>
          <w:rFonts w:hint="eastAsia" w:ascii="宋体" w:hAnsi="宋体"/>
          <w:b/>
          <w:sz w:val="28"/>
          <w:szCs w:val="28"/>
        </w:rPr>
        <w:t>七、投标纪律要求</w:t>
      </w:r>
      <w:bookmarkEnd w:id="152"/>
      <w:bookmarkEnd w:id="153"/>
    </w:p>
    <w:p>
      <w:pPr>
        <w:spacing w:line="400" w:lineRule="exact"/>
        <w:ind w:left="105" w:leftChars="50" w:firstLine="422" w:firstLineChars="200"/>
        <w:contextualSpacing/>
        <w:rPr>
          <w:rFonts w:ascii="宋体" w:hAnsi="宋体"/>
          <w:b/>
          <w:szCs w:val="21"/>
        </w:rPr>
      </w:pPr>
      <w:bookmarkStart w:id="154" w:name="_Toc308164816"/>
      <w:bookmarkStart w:id="155" w:name="_Toc217446075"/>
      <w:r>
        <w:rPr>
          <w:rFonts w:hint="eastAsia" w:ascii="宋体" w:hAnsi="宋体"/>
          <w:b/>
          <w:szCs w:val="21"/>
        </w:rPr>
        <w:t>32. 投标人不得具有的情形</w:t>
      </w:r>
      <w:bookmarkEnd w:id="154"/>
      <w:bookmarkEnd w:id="155"/>
    </w:p>
    <w:p>
      <w:pPr>
        <w:pStyle w:val="4"/>
        <w:spacing w:line="400" w:lineRule="exact"/>
        <w:ind w:left="105" w:leftChars="50" w:firstLine="525" w:firstLineChars="250"/>
        <w:contextualSpacing/>
        <w:rPr>
          <w:rFonts w:ascii="宋体" w:hAnsi="宋体"/>
          <w:szCs w:val="21"/>
        </w:rPr>
      </w:pPr>
      <w:r>
        <w:rPr>
          <w:rFonts w:hint="eastAsia" w:ascii="宋体" w:hAnsi="宋体"/>
          <w:szCs w:val="21"/>
        </w:rPr>
        <w:t>投标人参加投标不得有下列情形：</w:t>
      </w:r>
    </w:p>
    <w:p>
      <w:pPr>
        <w:spacing w:line="400" w:lineRule="exact"/>
        <w:ind w:left="105" w:leftChars="50" w:firstLine="403" w:firstLineChars="192"/>
        <w:contextualSpacing/>
        <w:rPr>
          <w:rFonts w:ascii="宋体" w:hAnsi="宋体"/>
          <w:szCs w:val="21"/>
        </w:rPr>
      </w:pPr>
      <w:r>
        <w:rPr>
          <w:rFonts w:hint="eastAsia" w:ascii="宋体" w:hAnsi="宋体"/>
          <w:szCs w:val="21"/>
        </w:rPr>
        <w:t>（1）提供虚假材料谋取中标；</w:t>
      </w:r>
    </w:p>
    <w:p>
      <w:pPr>
        <w:spacing w:line="400" w:lineRule="exact"/>
        <w:ind w:left="105" w:leftChars="50" w:firstLine="403" w:firstLineChars="192"/>
        <w:contextualSpacing/>
        <w:rPr>
          <w:rFonts w:ascii="宋体" w:hAnsi="宋体"/>
          <w:szCs w:val="21"/>
        </w:rPr>
      </w:pPr>
      <w:r>
        <w:rPr>
          <w:rFonts w:hint="eastAsia" w:ascii="宋体" w:hAnsi="宋体"/>
          <w:szCs w:val="21"/>
        </w:rPr>
        <w:t>（2）采取不正当手段诋毁、排挤其他投标人；</w:t>
      </w:r>
    </w:p>
    <w:p>
      <w:pPr>
        <w:spacing w:line="400" w:lineRule="exact"/>
        <w:ind w:left="105" w:leftChars="50" w:firstLine="420" w:firstLineChars="200"/>
        <w:contextualSpacing/>
        <w:rPr>
          <w:rFonts w:ascii="宋体" w:hAnsi="宋体"/>
          <w:szCs w:val="21"/>
        </w:rPr>
      </w:pPr>
      <w:r>
        <w:rPr>
          <w:rFonts w:hint="eastAsia" w:ascii="宋体" w:hAnsi="宋体"/>
          <w:szCs w:val="21"/>
        </w:rPr>
        <w:t>（3）与招标采购单位、其他投标人恶意串通；</w:t>
      </w:r>
    </w:p>
    <w:p>
      <w:pPr>
        <w:spacing w:line="400" w:lineRule="exact"/>
        <w:ind w:left="105" w:leftChars="50" w:firstLine="420" w:firstLineChars="200"/>
        <w:contextualSpacing/>
        <w:rPr>
          <w:rFonts w:ascii="宋体" w:hAnsi="宋体"/>
          <w:szCs w:val="21"/>
        </w:rPr>
      </w:pPr>
      <w:r>
        <w:rPr>
          <w:rFonts w:hint="eastAsia" w:ascii="宋体" w:hAnsi="宋体"/>
          <w:szCs w:val="21"/>
        </w:rPr>
        <w:t>（4）向招标采购单位、评标委员会成员行贿或者提供其他不正当利益；</w:t>
      </w:r>
    </w:p>
    <w:p>
      <w:pPr>
        <w:spacing w:line="400" w:lineRule="exact"/>
        <w:ind w:left="105" w:leftChars="50" w:firstLine="420" w:firstLineChars="200"/>
        <w:contextualSpacing/>
        <w:rPr>
          <w:rFonts w:ascii="宋体" w:hAnsi="宋体"/>
          <w:szCs w:val="21"/>
        </w:rPr>
      </w:pPr>
      <w:r>
        <w:rPr>
          <w:rFonts w:hint="eastAsia" w:ascii="宋体" w:hAnsi="宋体"/>
          <w:szCs w:val="21"/>
        </w:rPr>
        <w:t>（5）在招标过程中与招标采购单位进行协商谈判；</w:t>
      </w:r>
    </w:p>
    <w:p>
      <w:pPr>
        <w:spacing w:line="400" w:lineRule="exact"/>
        <w:ind w:left="105" w:leftChars="50" w:firstLine="420" w:firstLineChars="200"/>
        <w:contextualSpacing/>
        <w:rPr>
          <w:rFonts w:ascii="宋体" w:hAnsi="宋体"/>
          <w:szCs w:val="21"/>
        </w:rPr>
      </w:pPr>
      <w:r>
        <w:rPr>
          <w:rFonts w:hint="eastAsia" w:ascii="宋体" w:hAnsi="宋体"/>
          <w:szCs w:val="21"/>
        </w:rPr>
        <w:t>（6）拒绝有关部门的监督检查或者向监督检查部门提供虚假情况。</w:t>
      </w:r>
    </w:p>
    <w:p>
      <w:pPr>
        <w:pStyle w:val="4"/>
        <w:spacing w:line="400" w:lineRule="exact"/>
        <w:ind w:left="105" w:leftChars="50" w:firstLine="495"/>
        <w:contextualSpacing/>
        <w:rPr>
          <w:rFonts w:ascii="宋体" w:hAnsi="宋体"/>
          <w:szCs w:val="21"/>
        </w:rPr>
      </w:pPr>
      <w:r>
        <w:rPr>
          <w:rFonts w:hint="eastAsia" w:ascii="宋体" w:hAnsi="宋体"/>
          <w:szCs w:val="21"/>
        </w:rPr>
        <w:t>有上述情形之一的投标人，属于不合格投标人，其投标或中标资格将被取消。</w:t>
      </w:r>
    </w:p>
    <w:p>
      <w:pPr>
        <w:spacing w:line="400" w:lineRule="exact"/>
        <w:ind w:left="105" w:leftChars="50" w:firstLine="562" w:firstLineChars="200"/>
        <w:contextualSpacing/>
        <w:jc w:val="center"/>
        <w:rPr>
          <w:rFonts w:ascii="宋体" w:hAnsi="宋体"/>
          <w:b/>
          <w:sz w:val="28"/>
          <w:szCs w:val="28"/>
        </w:rPr>
      </w:pPr>
      <w:bookmarkStart w:id="156" w:name="_Toc217446076"/>
      <w:bookmarkStart w:id="157" w:name="_Toc308164817"/>
    </w:p>
    <w:p>
      <w:pPr>
        <w:spacing w:line="400" w:lineRule="exact"/>
        <w:ind w:left="105" w:leftChars="50" w:firstLine="562" w:firstLineChars="200"/>
        <w:contextualSpacing/>
        <w:jc w:val="center"/>
        <w:rPr>
          <w:rFonts w:ascii="宋体" w:hAnsi="宋体"/>
          <w:b/>
          <w:sz w:val="28"/>
          <w:szCs w:val="28"/>
        </w:rPr>
      </w:pPr>
      <w:r>
        <w:rPr>
          <w:rFonts w:hint="eastAsia" w:ascii="宋体" w:hAnsi="宋体"/>
          <w:b/>
          <w:sz w:val="28"/>
          <w:szCs w:val="28"/>
        </w:rPr>
        <w:t>八、支付货款</w:t>
      </w:r>
      <w:bookmarkEnd w:id="156"/>
      <w:bookmarkEnd w:id="157"/>
    </w:p>
    <w:p>
      <w:pPr>
        <w:spacing w:line="400" w:lineRule="exact"/>
        <w:ind w:left="105" w:leftChars="50" w:firstLine="422" w:firstLineChars="200"/>
        <w:contextualSpacing/>
        <w:rPr>
          <w:rFonts w:ascii="宋体" w:hAnsi="宋体"/>
          <w:b/>
          <w:szCs w:val="21"/>
        </w:rPr>
      </w:pPr>
      <w:bookmarkStart w:id="158" w:name="_Toc308164818"/>
      <w:bookmarkStart w:id="159" w:name="_Toc217446077"/>
      <w:r>
        <w:rPr>
          <w:rFonts w:hint="eastAsia" w:ascii="宋体" w:hAnsi="宋体"/>
          <w:b/>
          <w:szCs w:val="21"/>
        </w:rPr>
        <w:t>33.支付</w:t>
      </w:r>
      <w:bookmarkEnd w:id="158"/>
      <w:bookmarkEnd w:id="159"/>
      <w:r>
        <w:rPr>
          <w:rFonts w:hint="eastAsia" w:ascii="宋体" w:hAnsi="宋体"/>
          <w:b/>
          <w:szCs w:val="21"/>
        </w:rPr>
        <w:t>货款</w:t>
      </w:r>
    </w:p>
    <w:p>
      <w:pPr>
        <w:pStyle w:val="4"/>
        <w:spacing w:line="400" w:lineRule="exact"/>
        <w:ind w:left="105" w:leftChars="50" w:firstLine="480"/>
        <w:contextualSpacing/>
        <w:rPr>
          <w:szCs w:val="21"/>
        </w:rPr>
      </w:pPr>
      <w:bookmarkStart w:id="160" w:name="_Toc308164819"/>
      <w:r>
        <w:rPr>
          <w:rFonts w:hint="eastAsia"/>
          <w:szCs w:val="21"/>
        </w:rPr>
        <w:t>项目验收合格后，采购人应及时签署《验收报告》，并按《采购合同》约定，按相关规定程序一次性向中标供应商支付货款；付款时中标供应商应向采购人开具正式等额有效发票。</w:t>
      </w:r>
    </w:p>
    <w:p>
      <w:pPr>
        <w:spacing w:line="400" w:lineRule="exact"/>
        <w:ind w:left="105" w:leftChars="50" w:firstLine="562" w:firstLineChars="200"/>
        <w:contextualSpacing/>
        <w:jc w:val="center"/>
        <w:rPr>
          <w:rFonts w:ascii="宋体" w:hAnsi="宋体"/>
          <w:b/>
          <w:sz w:val="28"/>
          <w:szCs w:val="28"/>
        </w:rPr>
      </w:pPr>
    </w:p>
    <w:p>
      <w:pPr>
        <w:spacing w:line="400" w:lineRule="exact"/>
        <w:ind w:left="105" w:leftChars="50" w:firstLine="562" w:firstLineChars="200"/>
        <w:contextualSpacing/>
        <w:jc w:val="center"/>
        <w:rPr>
          <w:rFonts w:ascii="宋体" w:hAnsi="宋体"/>
          <w:b/>
          <w:sz w:val="28"/>
          <w:szCs w:val="28"/>
        </w:rPr>
      </w:pPr>
      <w:r>
        <w:rPr>
          <w:rFonts w:hint="eastAsia" w:ascii="宋体" w:hAnsi="宋体"/>
          <w:b/>
          <w:sz w:val="28"/>
          <w:szCs w:val="28"/>
        </w:rPr>
        <w:t>九、质疑和投诉</w:t>
      </w:r>
      <w:bookmarkEnd w:id="147"/>
      <w:bookmarkEnd w:id="148"/>
      <w:bookmarkEnd w:id="149"/>
      <w:bookmarkEnd w:id="160"/>
    </w:p>
    <w:p>
      <w:pPr>
        <w:pStyle w:val="4"/>
        <w:spacing w:line="400" w:lineRule="exact"/>
        <w:ind w:left="105" w:leftChars="50" w:firstLine="0"/>
        <w:contextualSpacing/>
        <w:rPr>
          <w:szCs w:val="21"/>
        </w:rPr>
      </w:pPr>
      <w:r>
        <w:rPr>
          <w:bCs/>
          <w:szCs w:val="21"/>
        </w:rPr>
        <w:t>3</w:t>
      </w:r>
      <w:r>
        <w:rPr>
          <w:szCs w:val="21"/>
        </w:rPr>
        <w:t>4</w:t>
      </w:r>
      <w:r>
        <w:rPr>
          <w:rFonts w:hint="eastAsia"/>
          <w:szCs w:val="21"/>
        </w:rPr>
        <w:t>．质疑、投诉的接收和处理严格按照国家相关法律法规的规定办理。</w:t>
      </w:r>
      <w:bookmarkEnd w:id="32"/>
    </w:p>
    <w:p>
      <w:pPr>
        <w:pStyle w:val="4"/>
        <w:spacing w:line="400" w:lineRule="exact"/>
        <w:ind w:left="105" w:leftChars="50" w:firstLine="0"/>
        <w:contextualSpacing/>
        <w:jc w:val="center"/>
        <w:rPr>
          <w:rFonts w:ascii="黑体" w:hAnsi="黑体" w:eastAsia="黑体"/>
          <w:bCs/>
          <w:sz w:val="32"/>
          <w:szCs w:val="32"/>
        </w:rPr>
      </w:pPr>
    </w:p>
    <w:p>
      <w:pPr>
        <w:pStyle w:val="4"/>
        <w:spacing w:line="400" w:lineRule="exact"/>
        <w:ind w:left="105" w:leftChars="50" w:firstLine="0"/>
        <w:contextualSpacing/>
        <w:jc w:val="center"/>
        <w:rPr>
          <w:sz w:val="36"/>
          <w:szCs w:val="36"/>
        </w:rPr>
      </w:pPr>
      <w:r>
        <w:rPr>
          <w:rFonts w:hint="eastAsia" w:ascii="黑体" w:hAnsi="黑体" w:eastAsia="黑体"/>
          <w:bCs/>
          <w:sz w:val="36"/>
          <w:szCs w:val="36"/>
        </w:rPr>
        <w:t>第三章 投标文件格式</w:t>
      </w:r>
    </w:p>
    <w:p>
      <w:pPr>
        <w:spacing w:line="400" w:lineRule="exact"/>
        <w:ind w:left="105" w:leftChars="50" w:firstLine="562" w:firstLineChars="200"/>
        <w:contextualSpacing/>
        <w:jc w:val="center"/>
        <w:rPr>
          <w:rFonts w:ascii="宋体" w:hAnsi="宋体"/>
          <w:b/>
          <w:sz w:val="28"/>
          <w:szCs w:val="28"/>
        </w:rPr>
      </w:pPr>
      <w:bookmarkStart w:id="161" w:name="_Toc308164821"/>
      <w:bookmarkStart w:id="162" w:name="_Toc217446082"/>
    </w:p>
    <w:p>
      <w:pPr>
        <w:spacing w:line="400" w:lineRule="exact"/>
        <w:ind w:left="105" w:leftChars="50" w:firstLine="562" w:firstLineChars="200"/>
        <w:contextualSpacing/>
        <w:jc w:val="center"/>
        <w:rPr>
          <w:rFonts w:ascii="宋体" w:hAnsi="宋体"/>
          <w:b/>
          <w:sz w:val="28"/>
          <w:szCs w:val="28"/>
        </w:rPr>
      </w:pPr>
      <w:r>
        <w:rPr>
          <w:rFonts w:hint="eastAsia" w:ascii="宋体" w:hAnsi="宋体"/>
          <w:b/>
          <w:sz w:val="28"/>
          <w:szCs w:val="28"/>
        </w:rPr>
        <w:t>一、投 标 函</w:t>
      </w:r>
      <w:bookmarkEnd w:id="161"/>
      <w:bookmarkEnd w:id="162"/>
    </w:p>
    <w:p>
      <w:pPr>
        <w:spacing w:line="400" w:lineRule="exact"/>
        <w:ind w:left="105" w:leftChars="50" w:firstLine="420" w:firstLineChars="200"/>
        <w:contextualSpacing/>
        <w:rPr>
          <w:rFonts w:ascii="宋体" w:hAnsi="宋体"/>
          <w:szCs w:val="21"/>
        </w:rPr>
      </w:pPr>
      <w:bookmarkStart w:id="163" w:name="_Toc217446083"/>
      <w:r>
        <w:rPr>
          <w:rFonts w:hint="eastAsia" w:ascii="宋体" w:hAnsi="宋体"/>
          <w:szCs w:val="21"/>
        </w:rPr>
        <w:t>__________________（采购人名称）：</w:t>
      </w:r>
    </w:p>
    <w:p>
      <w:pPr>
        <w:pStyle w:val="46"/>
        <w:keepNext/>
        <w:spacing w:line="400" w:lineRule="exact"/>
        <w:ind w:left="105" w:leftChars="50" w:firstLine="785" w:firstLineChars="374"/>
        <w:contextualSpacing/>
        <w:rPr>
          <w:bCs/>
          <w:sz w:val="21"/>
          <w:szCs w:val="21"/>
        </w:rPr>
      </w:pPr>
      <w:r>
        <w:rPr>
          <w:rFonts w:hint="eastAsia"/>
          <w:sz w:val="21"/>
          <w:szCs w:val="21"/>
        </w:rPr>
        <w:t>我方全面研究了 “               ”项目招标文件（招标编号），决定参加贵单位组织的本</w:t>
      </w:r>
      <w:r>
        <w:rPr>
          <w:rFonts w:hint="eastAsia"/>
          <w:bCs/>
          <w:sz w:val="21"/>
          <w:szCs w:val="21"/>
        </w:rPr>
        <w:t>项目投标。我方授权（姓名、职务）代表我方（投标单位的名称）全权处理本项目投标的有关事宜。</w:t>
      </w:r>
    </w:p>
    <w:p>
      <w:pPr>
        <w:spacing w:line="400" w:lineRule="exact"/>
        <w:ind w:left="105" w:leftChars="50" w:firstLine="420" w:firstLineChars="200"/>
        <w:contextualSpacing/>
        <w:rPr>
          <w:rFonts w:ascii="宋体" w:hAnsi="宋体"/>
          <w:szCs w:val="21"/>
        </w:rPr>
      </w:pPr>
      <w:r>
        <w:rPr>
          <w:rFonts w:hint="eastAsia" w:ascii="宋体" w:hAnsi="宋体"/>
          <w:bCs/>
          <w:szCs w:val="21"/>
        </w:rPr>
        <w:t>1. 我方自愿按照</w:t>
      </w:r>
      <w:r>
        <w:rPr>
          <w:rFonts w:hint="eastAsia" w:ascii="宋体" w:hAnsi="宋体"/>
          <w:szCs w:val="21"/>
        </w:rPr>
        <w:t>招标文件</w:t>
      </w:r>
      <w:r>
        <w:rPr>
          <w:rFonts w:hint="eastAsia" w:ascii="宋体" w:hAnsi="宋体"/>
          <w:bCs/>
          <w:szCs w:val="21"/>
        </w:rPr>
        <w:t>规定的各项要求向采购人提供所需货物及服务，总投标价为人民币</w:t>
      </w:r>
      <w:r>
        <w:rPr>
          <w:rFonts w:hint="eastAsia" w:ascii="宋体" w:hAnsi="宋体"/>
          <w:szCs w:val="21"/>
          <w:u w:val="single"/>
        </w:rPr>
        <w:t xml:space="preserve">            xxx</w:t>
      </w:r>
      <w:r>
        <w:rPr>
          <w:rFonts w:hint="eastAsia" w:ascii="宋体" w:hAnsi="宋体"/>
          <w:szCs w:val="21"/>
        </w:rPr>
        <w:t>元（大写：）。</w:t>
      </w:r>
    </w:p>
    <w:p>
      <w:pPr>
        <w:spacing w:line="400" w:lineRule="exact"/>
        <w:ind w:left="105" w:leftChars="50" w:firstLine="420" w:firstLineChars="200"/>
        <w:contextualSpacing/>
        <w:rPr>
          <w:rFonts w:ascii="宋体" w:hAnsi="宋体"/>
          <w:szCs w:val="21"/>
        </w:rPr>
      </w:pPr>
      <w:r>
        <w:rPr>
          <w:rFonts w:hint="eastAsia" w:ascii="宋体" w:hAnsi="宋体"/>
          <w:bCs/>
          <w:szCs w:val="21"/>
        </w:rPr>
        <w:t xml:space="preserve"> 2. 一旦我方</w:t>
      </w:r>
      <w:r>
        <w:rPr>
          <w:rFonts w:hint="eastAsia" w:ascii="宋体" w:hAnsi="宋体"/>
          <w:szCs w:val="21"/>
        </w:rPr>
        <w:t>中标</w:t>
      </w:r>
      <w:r>
        <w:rPr>
          <w:rFonts w:hint="eastAsia" w:ascii="宋体" w:hAnsi="宋体"/>
          <w:bCs/>
          <w:szCs w:val="21"/>
        </w:rPr>
        <w:t>，我方将严格履行合同规定的责任和义务，保证于合同签字生效后</w:t>
      </w:r>
      <w:r>
        <w:rPr>
          <w:rFonts w:hint="eastAsia" w:ascii="宋体" w:hAnsi="宋体"/>
          <w:szCs w:val="21"/>
        </w:rPr>
        <w:t xml:space="preserve">              日内全面履行义务，并交付采购人验收、使用。</w:t>
      </w:r>
    </w:p>
    <w:p>
      <w:pPr>
        <w:spacing w:line="400" w:lineRule="exact"/>
        <w:ind w:left="105" w:leftChars="50" w:firstLine="420" w:firstLineChars="200"/>
        <w:contextualSpacing/>
        <w:rPr>
          <w:rFonts w:ascii="宋体" w:hAnsi="宋体"/>
          <w:szCs w:val="21"/>
        </w:rPr>
      </w:pPr>
      <w:r>
        <w:rPr>
          <w:rFonts w:hint="eastAsia" w:ascii="宋体" w:hAnsi="宋体"/>
          <w:szCs w:val="21"/>
        </w:rPr>
        <w:t>3. 我方同意按照招标文件的要求，向贵单位交纳人民币      元（大写：       ）的投标保证金。并承诺：下列任何情况发生时，我方将不要求退还投标保证金：</w:t>
      </w:r>
    </w:p>
    <w:p>
      <w:pPr>
        <w:spacing w:line="400" w:lineRule="exact"/>
        <w:ind w:left="105" w:leftChars="50" w:firstLine="420" w:firstLineChars="200"/>
        <w:contextualSpacing/>
        <w:rPr>
          <w:rFonts w:ascii="宋体" w:hAnsi="宋体"/>
          <w:szCs w:val="21"/>
        </w:rPr>
      </w:pPr>
      <w:r>
        <w:rPr>
          <w:rFonts w:hint="eastAsia" w:ascii="宋体" w:hAnsi="宋体"/>
          <w:szCs w:val="21"/>
        </w:rPr>
        <w:t>（1）如果我方在投标有效期内撤回投标；</w:t>
      </w:r>
    </w:p>
    <w:p>
      <w:pPr>
        <w:spacing w:line="400" w:lineRule="exact"/>
        <w:ind w:left="105" w:leftChars="50" w:firstLine="420" w:firstLineChars="200"/>
        <w:contextualSpacing/>
        <w:rPr>
          <w:rFonts w:ascii="宋体" w:hAnsi="宋体"/>
          <w:szCs w:val="21"/>
        </w:rPr>
      </w:pPr>
      <w:r>
        <w:rPr>
          <w:rFonts w:hint="eastAsia" w:ascii="宋体" w:hAnsi="宋体"/>
          <w:szCs w:val="21"/>
        </w:rPr>
        <w:t>（2）我方提供了虚假响应招标文件的投标文件；</w:t>
      </w:r>
    </w:p>
    <w:p>
      <w:pPr>
        <w:spacing w:line="400" w:lineRule="exact"/>
        <w:ind w:left="105" w:leftChars="50" w:firstLine="420" w:firstLineChars="200"/>
        <w:contextualSpacing/>
        <w:rPr>
          <w:rFonts w:ascii="宋体" w:hAnsi="宋体"/>
          <w:szCs w:val="21"/>
        </w:rPr>
      </w:pPr>
      <w:r>
        <w:rPr>
          <w:rFonts w:hint="eastAsia" w:ascii="宋体" w:hAnsi="宋体"/>
          <w:szCs w:val="21"/>
        </w:rPr>
        <w:t>（3）在投标过程中有违规违纪行为；</w:t>
      </w:r>
    </w:p>
    <w:p>
      <w:pPr>
        <w:spacing w:line="400" w:lineRule="exact"/>
        <w:ind w:left="105" w:leftChars="50" w:firstLine="420" w:firstLineChars="200"/>
        <w:contextualSpacing/>
        <w:rPr>
          <w:rFonts w:ascii="宋体" w:hAnsi="宋体"/>
          <w:szCs w:val="21"/>
        </w:rPr>
      </w:pPr>
      <w:r>
        <w:rPr>
          <w:rFonts w:hint="eastAsia" w:ascii="宋体" w:hAnsi="宋体"/>
          <w:szCs w:val="21"/>
        </w:rPr>
        <w:t>（4）我方在投标有效期内收到中标通知书后，由于我方原因未能按照招标文件要求提交履约保证金或与采购人签订并履行合同。</w:t>
      </w:r>
    </w:p>
    <w:p>
      <w:pPr>
        <w:spacing w:line="400" w:lineRule="exact"/>
        <w:ind w:left="105" w:leftChars="50" w:firstLine="420" w:firstLineChars="200"/>
        <w:contextualSpacing/>
        <w:rPr>
          <w:rFonts w:ascii="宋体" w:hAnsi="宋体"/>
          <w:szCs w:val="21"/>
        </w:rPr>
      </w:pPr>
      <w:r>
        <w:rPr>
          <w:rFonts w:hint="eastAsia" w:ascii="宋体" w:hAnsi="宋体"/>
          <w:szCs w:val="21"/>
        </w:rPr>
        <w:t>4. 我方为本项目提交的投标文件正本1份，副本2份，用于开标唱标的“开标一览表”壹份。</w:t>
      </w:r>
    </w:p>
    <w:p>
      <w:pPr>
        <w:spacing w:line="400" w:lineRule="exact"/>
        <w:ind w:left="105" w:leftChars="50" w:firstLine="420" w:firstLineChars="200"/>
        <w:contextualSpacing/>
        <w:rPr>
          <w:rFonts w:ascii="宋体" w:hAnsi="宋体"/>
          <w:szCs w:val="21"/>
        </w:rPr>
      </w:pPr>
      <w:r>
        <w:rPr>
          <w:rFonts w:hint="eastAsia" w:ascii="宋体" w:hAnsi="宋体"/>
          <w:szCs w:val="21"/>
        </w:rPr>
        <w:t>5. 我方愿意提供贵单位可能另外要求的，与投标有关的文件资料，并保证我方已提供和将要提供的文件资料是真实、准确的。</w:t>
      </w:r>
    </w:p>
    <w:p>
      <w:pPr>
        <w:spacing w:line="400" w:lineRule="exact"/>
        <w:ind w:left="105" w:leftChars="50" w:firstLine="420" w:firstLineChars="200"/>
        <w:contextualSpacing/>
        <w:rPr>
          <w:rFonts w:ascii="宋体" w:hAnsi="宋体"/>
          <w:szCs w:val="21"/>
        </w:rPr>
      </w:pPr>
      <w:r>
        <w:rPr>
          <w:rFonts w:hint="eastAsia" w:ascii="宋体" w:hAnsi="宋体"/>
          <w:szCs w:val="21"/>
        </w:rPr>
        <w:t>投标人名称：        （盖章）</w:t>
      </w:r>
    </w:p>
    <w:p>
      <w:pPr>
        <w:spacing w:line="400" w:lineRule="exact"/>
        <w:ind w:left="105" w:leftChars="50" w:firstLine="420" w:firstLineChars="200"/>
        <w:contextualSpacing/>
        <w:rPr>
          <w:rFonts w:ascii="宋体" w:hAnsi="宋体"/>
          <w:szCs w:val="21"/>
        </w:rPr>
      </w:pPr>
      <w:r>
        <w:rPr>
          <w:rFonts w:hint="eastAsia" w:ascii="宋体" w:hAnsi="宋体"/>
          <w:szCs w:val="21"/>
        </w:rPr>
        <w:t>法定代表人或授权代表（签字）：</w:t>
      </w:r>
    </w:p>
    <w:p>
      <w:pPr>
        <w:spacing w:line="400" w:lineRule="exact"/>
        <w:ind w:left="105" w:leftChars="50" w:firstLine="420" w:firstLineChars="200"/>
        <w:contextualSpacing/>
        <w:rPr>
          <w:rFonts w:ascii="宋体" w:hAnsi="宋体"/>
          <w:szCs w:val="21"/>
        </w:rPr>
      </w:pPr>
      <w:r>
        <w:rPr>
          <w:rFonts w:hint="eastAsia" w:ascii="宋体" w:hAnsi="宋体"/>
          <w:szCs w:val="21"/>
        </w:rPr>
        <w:t>通讯地址：</w:t>
      </w:r>
    </w:p>
    <w:p>
      <w:pPr>
        <w:spacing w:line="400" w:lineRule="exact"/>
        <w:ind w:left="105" w:leftChars="50" w:firstLine="420" w:firstLineChars="200"/>
        <w:contextualSpacing/>
        <w:rPr>
          <w:rFonts w:ascii="宋体" w:hAnsi="宋体"/>
          <w:szCs w:val="21"/>
        </w:rPr>
      </w:pPr>
      <w:r>
        <w:rPr>
          <w:rFonts w:hint="eastAsia" w:ascii="宋体" w:hAnsi="宋体"/>
          <w:szCs w:val="21"/>
        </w:rPr>
        <w:t>邮政编码：</w:t>
      </w:r>
    </w:p>
    <w:p>
      <w:pPr>
        <w:spacing w:line="400" w:lineRule="exact"/>
        <w:ind w:left="105" w:leftChars="50" w:firstLine="420" w:firstLineChars="200"/>
        <w:contextualSpacing/>
        <w:rPr>
          <w:rFonts w:ascii="宋体" w:hAnsi="宋体"/>
          <w:szCs w:val="21"/>
        </w:rPr>
      </w:pPr>
      <w:r>
        <w:rPr>
          <w:rFonts w:hint="eastAsia" w:ascii="宋体" w:hAnsi="宋体"/>
          <w:szCs w:val="21"/>
        </w:rPr>
        <w:t>联系电话：                       传    真：</w:t>
      </w:r>
    </w:p>
    <w:p>
      <w:pPr>
        <w:spacing w:line="400" w:lineRule="exact"/>
        <w:ind w:left="105" w:leftChars="50" w:firstLine="420" w:firstLineChars="200"/>
        <w:contextualSpacing/>
        <w:rPr>
          <w:rFonts w:ascii="宋体" w:hAnsi="宋体"/>
          <w:szCs w:val="21"/>
        </w:rPr>
      </w:pPr>
      <w:r>
        <w:rPr>
          <w:rFonts w:hint="eastAsia" w:ascii="宋体" w:hAnsi="宋体"/>
          <w:szCs w:val="21"/>
        </w:rPr>
        <w:t>日    期：</w:t>
      </w:r>
      <w:bookmarkStart w:id="164" w:name="_Toc308164822"/>
    </w:p>
    <w:p>
      <w:pPr>
        <w:spacing w:line="400" w:lineRule="exact"/>
        <w:ind w:left="105" w:leftChars="50" w:firstLine="562" w:firstLineChars="200"/>
        <w:contextualSpacing/>
        <w:jc w:val="center"/>
        <w:rPr>
          <w:rFonts w:ascii="宋体" w:hAnsi="宋体"/>
          <w:b/>
          <w:sz w:val="28"/>
          <w:szCs w:val="28"/>
        </w:rPr>
      </w:pPr>
    </w:p>
    <w:p>
      <w:pPr>
        <w:spacing w:line="400" w:lineRule="exact"/>
        <w:ind w:left="105" w:leftChars="50" w:firstLine="562" w:firstLineChars="200"/>
        <w:contextualSpacing/>
        <w:jc w:val="center"/>
        <w:rPr>
          <w:rFonts w:ascii="宋体" w:hAnsi="宋体"/>
          <w:b/>
          <w:sz w:val="28"/>
          <w:szCs w:val="28"/>
        </w:rPr>
      </w:pPr>
    </w:p>
    <w:p>
      <w:pPr>
        <w:spacing w:line="400" w:lineRule="exact"/>
        <w:ind w:left="105" w:leftChars="50" w:firstLine="562" w:firstLineChars="200"/>
        <w:contextualSpacing/>
        <w:jc w:val="center"/>
        <w:rPr>
          <w:rFonts w:ascii="宋体" w:hAnsi="宋体"/>
          <w:b/>
          <w:sz w:val="28"/>
          <w:szCs w:val="28"/>
        </w:rPr>
      </w:pPr>
    </w:p>
    <w:p>
      <w:pPr>
        <w:spacing w:line="400" w:lineRule="exact"/>
        <w:ind w:left="105" w:leftChars="50" w:firstLine="562" w:firstLineChars="200"/>
        <w:contextualSpacing/>
        <w:jc w:val="center"/>
        <w:rPr>
          <w:rFonts w:ascii="宋体" w:hAnsi="宋体"/>
          <w:b/>
          <w:sz w:val="28"/>
          <w:szCs w:val="28"/>
        </w:rPr>
      </w:pPr>
    </w:p>
    <w:p>
      <w:pPr>
        <w:spacing w:line="400" w:lineRule="exact"/>
        <w:ind w:left="105" w:leftChars="50" w:firstLine="562" w:firstLineChars="200"/>
        <w:contextualSpacing/>
        <w:jc w:val="center"/>
        <w:rPr>
          <w:rFonts w:ascii="宋体" w:hAnsi="宋体"/>
          <w:b/>
          <w:sz w:val="28"/>
          <w:szCs w:val="28"/>
        </w:rPr>
      </w:pPr>
      <w:r>
        <w:rPr>
          <w:rFonts w:hint="eastAsia" w:ascii="宋体" w:hAnsi="宋体"/>
          <w:b/>
          <w:sz w:val="28"/>
          <w:szCs w:val="28"/>
        </w:rPr>
        <w:t>二、法定代表人授权书</w:t>
      </w:r>
      <w:bookmarkEnd w:id="163"/>
      <w:bookmarkEnd w:id="164"/>
    </w:p>
    <w:p>
      <w:pPr>
        <w:spacing w:line="400" w:lineRule="exact"/>
        <w:ind w:left="105" w:leftChars="50" w:firstLine="562" w:firstLineChars="200"/>
        <w:contextualSpacing/>
        <w:jc w:val="center"/>
        <w:rPr>
          <w:rFonts w:ascii="宋体" w:hAnsi="宋体"/>
          <w:b/>
          <w:sz w:val="28"/>
          <w:szCs w:val="28"/>
        </w:rPr>
      </w:pPr>
    </w:p>
    <w:p>
      <w:pPr>
        <w:spacing w:line="400" w:lineRule="exact"/>
        <w:ind w:left="105" w:leftChars="50"/>
        <w:contextualSpacing/>
        <w:rPr>
          <w:rFonts w:ascii="宋体" w:hAnsi="宋体"/>
          <w:szCs w:val="21"/>
        </w:rPr>
      </w:pPr>
      <w:r>
        <w:rPr>
          <w:rFonts w:hint="eastAsia" w:ascii="宋体" w:hAnsi="宋体"/>
          <w:szCs w:val="21"/>
        </w:rPr>
        <w:t>__________________（采购单位名称）：</w:t>
      </w:r>
    </w:p>
    <w:p>
      <w:pPr>
        <w:spacing w:line="400" w:lineRule="exact"/>
        <w:ind w:left="105" w:leftChars="50" w:firstLine="420" w:firstLineChars="200"/>
        <w:contextualSpacing/>
        <w:rPr>
          <w:rFonts w:ascii="宋体" w:hAnsi="宋体"/>
          <w:szCs w:val="21"/>
        </w:rPr>
      </w:pPr>
      <w:r>
        <w:rPr>
          <w:rFonts w:hint="eastAsia" w:ascii="宋体" w:hAnsi="宋体"/>
          <w:szCs w:val="21"/>
        </w:rPr>
        <w:t>本授权声明：（投标人名称）（法定代表人姓名、职务）授权（被授权人姓名、职务）为我方 “ ” 项目（招标编号）投标活动的合法代表，以我方名义全权处理该项目有关投标、签订合同以及执行合同等一切事宜。</w:t>
      </w:r>
    </w:p>
    <w:p>
      <w:pPr>
        <w:spacing w:line="400" w:lineRule="exact"/>
        <w:ind w:left="105" w:leftChars="50" w:firstLine="420" w:firstLineChars="200"/>
        <w:contextualSpacing/>
        <w:rPr>
          <w:rFonts w:ascii="宋体" w:hAnsi="宋体"/>
          <w:szCs w:val="21"/>
        </w:rPr>
      </w:pPr>
      <w:r>
        <w:rPr>
          <w:rFonts w:hint="eastAsia" w:ascii="宋体" w:hAnsi="宋体"/>
          <w:szCs w:val="21"/>
        </w:rPr>
        <w:t>特此声明。</w:t>
      </w:r>
    </w:p>
    <w:p>
      <w:pPr>
        <w:spacing w:line="400" w:lineRule="exact"/>
        <w:ind w:left="105" w:leftChars="50" w:firstLine="420" w:firstLineChars="200"/>
        <w:contextualSpacing/>
        <w:rPr>
          <w:rFonts w:ascii="宋体" w:hAnsi="宋体"/>
          <w:szCs w:val="21"/>
        </w:rPr>
      </w:pPr>
      <w:r>
        <w:rPr>
          <w:rFonts w:hint="eastAsia" w:ascii="宋体" w:hAnsi="宋体"/>
          <w:szCs w:val="21"/>
        </w:rPr>
        <w:t>法定代表人（签字或盖章）：</w:t>
      </w:r>
    </w:p>
    <w:p>
      <w:pPr>
        <w:spacing w:line="400" w:lineRule="exact"/>
        <w:ind w:left="105" w:leftChars="50" w:firstLine="420" w:firstLineChars="200"/>
        <w:contextualSpacing/>
        <w:rPr>
          <w:rFonts w:ascii="宋体" w:hAnsi="宋体"/>
          <w:szCs w:val="21"/>
        </w:rPr>
      </w:pPr>
      <w:r>
        <w:rPr>
          <w:rFonts w:hint="eastAsia" w:ascii="宋体" w:hAnsi="宋体"/>
          <w:szCs w:val="21"/>
        </w:rPr>
        <w:t>授权代表（签字或盖章）：</w:t>
      </w:r>
    </w:p>
    <w:p>
      <w:pPr>
        <w:spacing w:line="400" w:lineRule="exact"/>
        <w:ind w:left="105" w:leftChars="50" w:firstLine="420" w:firstLineChars="200"/>
        <w:contextualSpacing/>
        <w:rPr>
          <w:rFonts w:ascii="宋体" w:hAnsi="宋体"/>
          <w:szCs w:val="21"/>
        </w:rPr>
      </w:pPr>
      <w:r>
        <w:rPr>
          <w:rFonts w:hint="eastAsia" w:ascii="宋体" w:hAnsi="宋体"/>
          <w:szCs w:val="21"/>
        </w:rPr>
        <w:t>投标人名称：（盖章）</w:t>
      </w:r>
    </w:p>
    <w:p>
      <w:pPr>
        <w:spacing w:line="400" w:lineRule="exact"/>
        <w:ind w:left="105" w:leftChars="50" w:firstLine="420" w:firstLineChars="200"/>
        <w:contextualSpacing/>
        <w:rPr>
          <w:rFonts w:ascii="宋体" w:hAnsi="宋体"/>
          <w:szCs w:val="21"/>
        </w:rPr>
      </w:pPr>
    </w:p>
    <w:p>
      <w:pPr>
        <w:spacing w:line="400" w:lineRule="exact"/>
        <w:ind w:left="105" w:leftChars="50" w:firstLine="420" w:firstLineChars="200"/>
        <w:contextualSpacing/>
        <w:rPr>
          <w:rFonts w:ascii="宋体" w:hAnsi="宋体"/>
          <w:szCs w:val="21"/>
        </w:rPr>
      </w:pPr>
      <w:r>
        <w:rPr>
          <w:rFonts w:hint="eastAsia" w:ascii="宋体" w:hAnsi="宋体"/>
          <w:szCs w:val="21"/>
        </w:rPr>
        <w:t>日期：      年   月   日</w:t>
      </w:r>
    </w:p>
    <w:p>
      <w:pPr>
        <w:spacing w:line="400" w:lineRule="exact"/>
        <w:ind w:left="105" w:leftChars="50" w:firstLine="562" w:firstLineChars="200"/>
        <w:contextualSpacing/>
        <w:rPr>
          <w:rFonts w:ascii="宋体" w:hAnsi="宋体"/>
          <w:b/>
          <w:sz w:val="28"/>
          <w:szCs w:val="28"/>
        </w:rPr>
      </w:pPr>
      <w:bookmarkStart w:id="165" w:name="_Toc217446085"/>
      <w:bookmarkStart w:id="166" w:name="_Toc308164824"/>
    </w:p>
    <w:p>
      <w:pPr>
        <w:spacing w:line="400" w:lineRule="exact"/>
        <w:ind w:left="105" w:leftChars="50" w:firstLine="562" w:firstLineChars="200"/>
        <w:contextualSpacing/>
        <w:rPr>
          <w:rFonts w:ascii="宋体" w:hAnsi="宋体"/>
          <w:b/>
          <w:sz w:val="28"/>
          <w:szCs w:val="28"/>
        </w:rPr>
      </w:pPr>
    </w:p>
    <w:p>
      <w:pPr>
        <w:spacing w:line="400" w:lineRule="exact"/>
        <w:ind w:left="105" w:leftChars="50" w:firstLine="562" w:firstLineChars="200"/>
        <w:contextualSpacing/>
        <w:rPr>
          <w:rFonts w:ascii="宋体" w:hAnsi="宋体"/>
          <w:b/>
          <w:sz w:val="28"/>
          <w:szCs w:val="28"/>
        </w:rPr>
      </w:pPr>
    </w:p>
    <w:p>
      <w:pPr>
        <w:spacing w:line="400" w:lineRule="exact"/>
        <w:ind w:left="105" w:leftChars="50" w:firstLine="562" w:firstLineChars="200"/>
        <w:contextualSpacing/>
        <w:rPr>
          <w:rFonts w:ascii="宋体" w:hAnsi="宋体"/>
          <w:b/>
          <w:sz w:val="28"/>
          <w:szCs w:val="28"/>
        </w:rPr>
      </w:pPr>
    </w:p>
    <w:p>
      <w:pPr>
        <w:spacing w:line="400" w:lineRule="exact"/>
        <w:ind w:left="105" w:leftChars="50" w:firstLine="562" w:firstLineChars="200"/>
        <w:contextualSpacing/>
        <w:jc w:val="center"/>
        <w:rPr>
          <w:rFonts w:ascii="宋体" w:hAnsi="宋体"/>
          <w:b/>
          <w:sz w:val="28"/>
          <w:szCs w:val="28"/>
        </w:rPr>
      </w:pPr>
      <w:r>
        <w:rPr>
          <w:rFonts w:hint="eastAsia" w:ascii="宋体" w:hAnsi="宋体"/>
          <w:b/>
          <w:sz w:val="28"/>
          <w:szCs w:val="28"/>
        </w:rPr>
        <w:t>三、</w:t>
      </w:r>
      <w:bookmarkEnd w:id="165"/>
      <w:bookmarkEnd w:id="166"/>
      <w:r>
        <w:rPr>
          <w:rFonts w:hint="eastAsia" w:ascii="宋体" w:hAnsi="宋体"/>
          <w:b/>
          <w:sz w:val="28"/>
          <w:szCs w:val="28"/>
        </w:rPr>
        <w:t>承诺函</w:t>
      </w:r>
    </w:p>
    <w:p>
      <w:pPr>
        <w:spacing w:line="400" w:lineRule="exact"/>
        <w:ind w:left="105" w:leftChars="50"/>
        <w:contextualSpacing/>
        <w:rPr>
          <w:rFonts w:ascii="宋体" w:hAnsi="宋体"/>
          <w:szCs w:val="21"/>
        </w:rPr>
      </w:pPr>
      <w:r>
        <w:rPr>
          <w:rFonts w:hint="eastAsia" w:ascii="宋体" w:hAnsi="宋体"/>
          <w:szCs w:val="21"/>
        </w:rPr>
        <w:t>__________________（采购单位名称）：</w:t>
      </w:r>
    </w:p>
    <w:p>
      <w:pPr>
        <w:spacing w:line="400" w:lineRule="exact"/>
        <w:ind w:left="105" w:leftChars="50"/>
        <w:contextualSpacing/>
        <w:rPr>
          <w:rFonts w:ascii="宋体" w:hAnsi="宋体"/>
          <w:szCs w:val="21"/>
        </w:rPr>
      </w:pPr>
    </w:p>
    <w:p>
      <w:pPr>
        <w:spacing w:line="400" w:lineRule="exact"/>
        <w:ind w:left="105" w:leftChars="50" w:firstLine="420"/>
        <w:contextualSpacing/>
        <w:rPr>
          <w:szCs w:val="21"/>
        </w:rPr>
      </w:pPr>
      <w:r>
        <w:rPr>
          <w:rFonts w:hint="eastAsia"/>
          <w:szCs w:val="21"/>
        </w:rPr>
        <w:t>本公司作为本次采购项目的投标人，郑重承诺具备以下条件：</w:t>
      </w:r>
    </w:p>
    <w:p>
      <w:pPr>
        <w:spacing w:line="400" w:lineRule="exact"/>
        <w:ind w:left="105" w:leftChars="50" w:firstLine="420" w:firstLineChars="200"/>
        <w:contextualSpacing/>
        <w:rPr>
          <w:szCs w:val="21"/>
        </w:rPr>
      </w:pPr>
      <w:r>
        <w:rPr>
          <w:rFonts w:hint="eastAsia"/>
          <w:szCs w:val="21"/>
        </w:rPr>
        <w:t>（一）具有独立承担民事责任的能力；</w:t>
      </w:r>
    </w:p>
    <w:p>
      <w:pPr>
        <w:spacing w:line="400" w:lineRule="exact"/>
        <w:ind w:left="105" w:leftChars="50" w:firstLine="420" w:firstLineChars="200"/>
        <w:contextualSpacing/>
        <w:rPr>
          <w:szCs w:val="21"/>
        </w:rPr>
      </w:pPr>
      <w:r>
        <w:rPr>
          <w:rFonts w:hint="eastAsia"/>
          <w:szCs w:val="21"/>
        </w:rPr>
        <w:t>（二）具有良好的商业信誉和健全的财务会计制度；</w:t>
      </w:r>
    </w:p>
    <w:p>
      <w:pPr>
        <w:spacing w:line="400" w:lineRule="exact"/>
        <w:ind w:left="105" w:leftChars="50" w:firstLine="420" w:firstLineChars="200"/>
        <w:contextualSpacing/>
        <w:rPr>
          <w:szCs w:val="21"/>
        </w:rPr>
      </w:pPr>
      <w:r>
        <w:rPr>
          <w:rFonts w:hint="eastAsia"/>
          <w:szCs w:val="21"/>
        </w:rPr>
        <w:t>（三）具有履行合同所必需的设备和专业技术能力；</w:t>
      </w:r>
    </w:p>
    <w:p>
      <w:pPr>
        <w:spacing w:line="400" w:lineRule="exact"/>
        <w:ind w:left="105" w:leftChars="50" w:firstLine="420" w:firstLineChars="200"/>
        <w:contextualSpacing/>
        <w:rPr>
          <w:szCs w:val="21"/>
        </w:rPr>
      </w:pPr>
      <w:r>
        <w:rPr>
          <w:rFonts w:hint="eastAsia"/>
          <w:szCs w:val="21"/>
        </w:rPr>
        <w:t>（四）参加采购活动前三年内，在经营活动中没有重大违法记录。</w:t>
      </w:r>
    </w:p>
    <w:p>
      <w:pPr>
        <w:spacing w:line="400" w:lineRule="exact"/>
        <w:ind w:left="105" w:leftChars="50" w:firstLine="315" w:firstLineChars="150"/>
        <w:contextualSpacing/>
        <w:rPr>
          <w:szCs w:val="21"/>
        </w:rPr>
      </w:pPr>
      <w:r>
        <w:rPr>
          <w:rFonts w:hint="eastAsia"/>
          <w:szCs w:val="21"/>
        </w:rPr>
        <w:t>本公司对上述承诺的真实性负责。如有虚假，将依法承担相应责任。</w:t>
      </w:r>
    </w:p>
    <w:p>
      <w:pPr>
        <w:adjustRightInd w:val="0"/>
        <w:spacing w:line="400" w:lineRule="exact"/>
        <w:ind w:left="105" w:leftChars="50" w:firstLine="3559" w:firstLineChars="1695"/>
        <w:contextualSpacing/>
        <w:jc w:val="left"/>
        <w:rPr>
          <w:rFonts w:ascii="宋体" w:hAnsi="宋体"/>
          <w:szCs w:val="21"/>
        </w:rPr>
      </w:pPr>
      <w:r>
        <w:rPr>
          <w:rFonts w:hint="eastAsia" w:ascii="宋体" w:hAnsi="宋体"/>
          <w:szCs w:val="21"/>
        </w:rPr>
        <w:t>投标人名称：（盖章）</w:t>
      </w:r>
    </w:p>
    <w:p>
      <w:pPr>
        <w:adjustRightInd w:val="0"/>
        <w:spacing w:line="400" w:lineRule="exact"/>
        <w:ind w:left="105" w:leftChars="50" w:firstLine="3570" w:firstLineChars="1700"/>
        <w:contextualSpacing/>
        <w:jc w:val="left"/>
        <w:rPr>
          <w:rFonts w:ascii="宋体" w:hAnsi="宋体"/>
          <w:szCs w:val="21"/>
        </w:rPr>
      </w:pPr>
      <w:r>
        <w:rPr>
          <w:rFonts w:hint="eastAsia" w:ascii="宋体" w:hAnsi="宋体"/>
          <w:szCs w:val="21"/>
        </w:rPr>
        <w:t>法定代表人或授权代表（签字或盖章）：</w:t>
      </w:r>
    </w:p>
    <w:p>
      <w:pPr>
        <w:spacing w:line="400" w:lineRule="exact"/>
        <w:ind w:left="105" w:leftChars="50" w:firstLine="3570" w:firstLineChars="1700"/>
        <w:contextualSpacing/>
        <w:rPr>
          <w:rFonts w:ascii="宋体" w:hAnsi="宋体"/>
          <w:szCs w:val="21"/>
        </w:rPr>
      </w:pPr>
      <w:r>
        <w:rPr>
          <w:rFonts w:hint="eastAsia" w:ascii="宋体" w:hAnsi="宋体"/>
          <w:szCs w:val="21"/>
        </w:rPr>
        <w:t>日期：      年    月    日</w:t>
      </w:r>
    </w:p>
    <w:p>
      <w:pPr>
        <w:spacing w:line="400" w:lineRule="exact"/>
        <w:ind w:left="105" w:leftChars="50" w:firstLine="3570" w:firstLineChars="1700"/>
        <w:contextualSpacing/>
        <w:rPr>
          <w:rFonts w:ascii="宋体" w:hAnsi="宋体"/>
          <w:szCs w:val="21"/>
        </w:rPr>
      </w:pPr>
    </w:p>
    <w:p>
      <w:pPr>
        <w:spacing w:line="400" w:lineRule="exact"/>
        <w:ind w:left="105" w:leftChars="50" w:firstLine="3570" w:firstLineChars="1700"/>
        <w:contextualSpacing/>
        <w:rPr>
          <w:rFonts w:ascii="宋体" w:hAnsi="宋体"/>
          <w:szCs w:val="21"/>
        </w:rPr>
      </w:pPr>
    </w:p>
    <w:p>
      <w:pPr>
        <w:spacing w:line="400" w:lineRule="exact"/>
        <w:ind w:left="105" w:leftChars="50" w:firstLine="3570" w:firstLineChars="1700"/>
        <w:contextualSpacing/>
        <w:rPr>
          <w:rFonts w:ascii="宋体" w:hAnsi="宋体"/>
          <w:szCs w:val="21"/>
        </w:rPr>
      </w:pPr>
    </w:p>
    <w:p>
      <w:pPr>
        <w:spacing w:line="400" w:lineRule="exact"/>
        <w:rPr>
          <w:rFonts w:ascii="宋体" w:hAnsi="宋体"/>
          <w:szCs w:val="21"/>
        </w:rPr>
      </w:pPr>
    </w:p>
    <w:p>
      <w:pPr>
        <w:spacing w:line="400" w:lineRule="exact"/>
        <w:rPr>
          <w:rFonts w:ascii="宋体" w:hAnsi="宋体"/>
          <w:szCs w:val="21"/>
        </w:rPr>
      </w:pPr>
    </w:p>
    <w:p>
      <w:pPr>
        <w:spacing w:line="400" w:lineRule="exact"/>
        <w:rPr>
          <w:rFonts w:ascii="宋体" w:hAnsi="宋体"/>
          <w:szCs w:val="21"/>
        </w:rPr>
      </w:pPr>
    </w:p>
    <w:p>
      <w:pPr>
        <w:spacing w:line="400" w:lineRule="exact"/>
        <w:jc w:val="center"/>
        <w:rPr>
          <w:rFonts w:ascii="宋体" w:hAnsi="宋体"/>
          <w:b/>
          <w:sz w:val="28"/>
          <w:szCs w:val="28"/>
        </w:rPr>
      </w:pPr>
      <w:r>
        <w:rPr>
          <w:rFonts w:hint="eastAsia" w:ascii="宋体" w:hAnsi="宋体"/>
          <w:b/>
          <w:sz w:val="28"/>
          <w:szCs w:val="28"/>
        </w:rPr>
        <w:t>四、开标一览表</w:t>
      </w:r>
    </w:p>
    <w:tbl>
      <w:tblPr>
        <w:tblStyle w:val="63"/>
        <w:tblW w:w="96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6"/>
        <w:gridCol w:w="3370"/>
        <w:gridCol w:w="1966"/>
        <w:gridCol w:w="638"/>
        <w:gridCol w:w="705"/>
        <w:gridCol w:w="113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rPr>
                <w:rFonts w:cs="宋体" w:asciiTheme="minorEastAsia" w:hAnsiTheme="minorEastAsia" w:eastAsiaTheme="minorEastAsia"/>
                <w:b/>
                <w:kern w:val="0"/>
                <w:sz w:val="20"/>
              </w:rPr>
            </w:pPr>
            <w:r>
              <w:rPr>
                <w:rFonts w:hint="eastAsia" w:cs="宋体" w:asciiTheme="minorEastAsia" w:hAnsiTheme="minorEastAsia" w:eastAsiaTheme="minorEastAsia"/>
                <w:b/>
                <w:kern w:val="0"/>
                <w:sz w:val="20"/>
              </w:rPr>
              <w:t>序号</w:t>
            </w:r>
          </w:p>
        </w:tc>
        <w:tc>
          <w:tcPr>
            <w:tcW w:w="3370" w:type="dxa"/>
            <w:shd w:val="clear" w:color="auto" w:fill="auto"/>
            <w:vAlign w:val="center"/>
          </w:tcPr>
          <w:p>
            <w:pPr>
              <w:widowControl/>
              <w:jc w:val="center"/>
              <w:rPr>
                <w:rFonts w:cs="宋体" w:asciiTheme="minorEastAsia" w:hAnsiTheme="minorEastAsia" w:eastAsiaTheme="minorEastAsia"/>
                <w:b/>
                <w:kern w:val="0"/>
                <w:sz w:val="20"/>
              </w:rPr>
            </w:pPr>
            <w:r>
              <w:rPr>
                <w:rFonts w:hint="eastAsia" w:cs="宋体" w:asciiTheme="minorEastAsia" w:hAnsiTheme="minorEastAsia" w:eastAsiaTheme="minorEastAsia"/>
                <w:b/>
                <w:kern w:val="0"/>
                <w:sz w:val="20"/>
              </w:rPr>
              <w:t>货物名称</w:t>
            </w:r>
          </w:p>
        </w:tc>
        <w:tc>
          <w:tcPr>
            <w:tcW w:w="1966" w:type="dxa"/>
            <w:shd w:val="clear" w:color="auto" w:fill="auto"/>
            <w:vAlign w:val="center"/>
          </w:tcPr>
          <w:p>
            <w:pPr>
              <w:widowControl/>
              <w:jc w:val="center"/>
              <w:rPr>
                <w:rFonts w:cs="宋体" w:asciiTheme="minorEastAsia" w:hAnsiTheme="minorEastAsia" w:eastAsiaTheme="minorEastAsia"/>
                <w:b/>
                <w:kern w:val="0"/>
                <w:sz w:val="20"/>
              </w:rPr>
            </w:pPr>
            <w:r>
              <w:rPr>
                <w:rFonts w:hint="eastAsia" w:cs="宋体" w:asciiTheme="minorEastAsia" w:hAnsiTheme="minorEastAsia" w:eastAsiaTheme="minorEastAsia"/>
                <w:b/>
                <w:kern w:val="0"/>
                <w:sz w:val="20"/>
              </w:rPr>
              <w:t>规格型号</w:t>
            </w:r>
          </w:p>
        </w:tc>
        <w:tc>
          <w:tcPr>
            <w:tcW w:w="638" w:type="dxa"/>
            <w:shd w:val="clear" w:color="auto" w:fill="auto"/>
            <w:vAlign w:val="center"/>
          </w:tcPr>
          <w:p>
            <w:pPr>
              <w:widowControl/>
              <w:jc w:val="center"/>
              <w:rPr>
                <w:rFonts w:cs="宋体" w:asciiTheme="minorEastAsia" w:hAnsiTheme="minorEastAsia" w:eastAsiaTheme="minorEastAsia"/>
                <w:b/>
                <w:kern w:val="0"/>
                <w:sz w:val="20"/>
              </w:rPr>
            </w:pPr>
            <w:r>
              <w:rPr>
                <w:rFonts w:hint="eastAsia" w:cs="宋体" w:asciiTheme="minorEastAsia" w:hAnsiTheme="minorEastAsia" w:eastAsiaTheme="minorEastAsia"/>
                <w:b/>
                <w:kern w:val="0"/>
                <w:sz w:val="20"/>
              </w:rPr>
              <w:t>单位</w:t>
            </w:r>
          </w:p>
        </w:tc>
        <w:tc>
          <w:tcPr>
            <w:tcW w:w="705" w:type="dxa"/>
            <w:shd w:val="clear" w:color="auto" w:fill="auto"/>
            <w:vAlign w:val="center"/>
          </w:tcPr>
          <w:p>
            <w:pPr>
              <w:widowControl/>
              <w:jc w:val="center"/>
              <w:rPr>
                <w:rFonts w:cs="宋体" w:asciiTheme="minorEastAsia" w:hAnsiTheme="minorEastAsia" w:eastAsiaTheme="minorEastAsia"/>
                <w:b/>
                <w:kern w:val="0"/>
                <w:sz w:val="20"/>
              </w:rPr>
            </w:pPr>
            <w:r>
              <w:rPr>
                <w:rFonts w:hint="eastAsia" w:cs="宋体" w:asciiTheme="minorEastAsia" w:hAnsiTheme="minorEastAsia" w:eastAsiaTheme="minorEastAsia"/>
                <w:b/>
                <w:kern w:val="0"/>
                <w:sz w:val="20"/>
              </w:rPr>
              <w:t>数量</w:t>
            </w:r>
          </w:p>
        </w:tc>
        <w:tc>
          <w:tcPr>
            <w:tcW w:w="1136" w:type="dxa"/>
            <w:shd w:val="clear" w:color="auto" w:fill="auto"/>
            <w:vAlign w:val="center"/>
          </w:tcPr>
          <w:p>
            <w:pPr>
              <w:widowControl/>
              <w:jc w:val="center"/>
              <w:rPr>
                <w:rFonts w:cs="宋体" w:asciiTheme="minorEastAsia" w:hAnsiTheme="minorEastAsia" w:eastAsiaTheme="minorEastAsia"/>
                <w:b/>
                <w:kern w:val="0"/>
                <w:sz w:val="20"/>
              </w:rPr>
            </w:pPr>
            <w:r>
              <w:rPr>
                <w:rFonts w:hint="eastAsia" w:cs="宋体" w:asciiTheme="minorEastAsia" w:hAnsiTheme="minorEastAsia" w:eastAsiaTheme="minorEastAsia"/>
                <w:b/>
                <w:kern w:val="0"/>
                <w:sz w:val="20"/>
              </w:rPr>
              <w:t xml:space="preserve">投标单价（元） </w:t>
            </w:r>
          </w:p>
        </w:tc>
        <w:tc>
          <w:tcPr>
            <w:tcW w:w="1276" w:type="dxa"/>
            <w:shd w:val="clear" w:color="auto" w:fill="auto"/>
            <w:vAlign w:val="center"/>
          </w:tcPr>
          <w:p>
            <w:pPr>
              <w:widowControl/>
              <w:jc w:val="center"/>
              <w:rPr>
                <w:rFonts w:cs="宋体" w:asciiTheme="minorEastAsia" w:hAnsiTheme="minorEastAsia" w:eastAsiaTheme="minorEastAsia"/>
                <w:b/>
                <w:kern w:val="0"/>
                <w:sz w:val="20"/>
              </w:rPr>
            </w:pPr>
            <w:r>
              <w:rPr>
                <w:rFonts w:hint="eastAsia" w:cs="宋体" w:asciiTheme="minorEastAsia" w:hAnsiTheme="minorEastAsia" w:eastAsiaTheme="minorEastAsia"/>
                <w:b/>
                <w:kern w:val="0"/>
                <w:sz w:val="20"/>
              </w:rPr>
              <w:t>投标总价（元）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3370"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90</w:t>
            </w:r>
            <w:r>
              <w:rPr>
                <w:rFonts w:hint="eastAsia" w:asciiTheme="minorEastAsia" w:hAnsiTheme="minorEastAsia" w:eastAsiaTheme="minorEastAsia"/>
                <w:kern w:val="0"/>
                <w:sz w:val="20"/>
              </w:rPr>
              <w:t>°机夹硬质合金可转位外圆车刀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90W25-T3K16</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6</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配用刀片（</w:t>
            </w:r>
            <w:r>
              <w:rPr>
                <w:rFonts w:asciiTheme="minorEastAsia" w:hAnsiTheme="minorEastAsia" w:eastAsiaTheme="minorEastAsia"/>
                <w:kern w:val="0"/>
                <w:sz w:val="20"/>
              </w:rPr>
              <w:t>P YT15</w:t>
            </w:r>
            <w:r>
              <w:rPr>
                <w:rFonts w:hint="eastAsia" w:cs="宋体" w:asciiTheme="minorEastAsia" w:hAnsiTheme="minorEastAsia" w:eastAsiaTheme="minorEastAsia"/>
                <w:kern w:val="0"/>
                <w:sz w:val="20"/>
              </w:rPr>
              <w:t>）</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T31605F</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锋钢刀条</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14×14×200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30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w:t>
            </w:r>
          </w:p>
        </w:tc>
        <w:tc>
          <w:tcPr>
            <w:tcW w:w="3370"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45</w:t>
            </w:r>
            <w:r>
              <w:rPr>
                <w:rFonts w:hint="eastAsia" w:asciiTheme="minorEastAsia" w:hAnsiTheme="minorEastAsia" w:eastAsiaTheme="minorEastAsia"/>
                <w:kern w:val="0"/>
                <w:sz w:val="20"/>
              </w:rPr>
              <w:t>°机夹车刀配用刀片</w:t>
            </w:r>
            <w:r>
              <w:rPr>
                <w:rFonts w:asciiTheme="minorEastAsia" w:hAnsiTheme="minorEastAsia" w:eastAsiaTheme="minorEastAsia"/>
                <w:kern w:val="0"/>
                <w:sz w:val="20"/>
              </w:rPr>
              <w:t> </w:t>
            </w:r>
            <w:r>
              <w:rPr>
                <w:rFonts w:hint="eastAsia" w:asciiTheme="minorEastAsia" w:hAnsiTheme="minorEastAsia" w:eastAsiaTheme="minorEastAsia"/>
                <w:kern w:val="0"/>
                <w:sz w:val="20"/>
              </w:rPr>
              <w:t>（</w:t>
            </w:r>
            <w:r>
              <w:rPr>
                <w:rFonts w:asciiTheme="minorEastAsia" w:hAnsiTheme="minorEastAsia" w:eastAsiaTheme="minorEastAsia"/>
                <w:kern w:val="0"/>
                <w:sz w:val="20"/>
              </w:rPr>
              <w:t>P YT15</w:t>
            </w:r>
            <w:r>
              <w:rPr>
                <w:rFonts w:hint="eastAsia" w:asciiTheme="minorEastAsia" w:hAnsiTheme="minorEastAsia" w:eastAsiaTheme="minorEastAsia"/>
                <w:kern w:val="0"/>
                <w:sz w:val="20"/>
              </w:rPr>
              <w:t>）</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41605F</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机夹硬质合金可转位外螺纹车刀配用刀片</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M608</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机夹硬质合金可转位外螺纹车刀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L25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6</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机夹内孔切槽车刀</w:t>
            </w:r>
            <w:r>
              <w:rPr>
                <w:rFonts w:asciiTheme="minorEastAsia" w:hAnsiTheme="minorEastAsia" w:eastAsiaTheme="minorEastAsia"/>
                <w:kern w:val="0"/>
                <w:sz w:val="20"/>
              </w:rPr>
              <w:t>(</w:t>
            </w:r>
            <w:r>
              <w:rPr>
                <w:rFonts w:hint="eastAsia" w:cs="宋体" w:asciiTheme="minorEastAsia" w:hAnsiTheme="minorEastAsia" w:eastAsiaTheme="minorEastAsia"/>
                <w:kern w:val="0"/>
                <w:sz w:val="20"/>
              </w:rPr>
              <w:t>套装刀盒</w:t>
            </w:r>
            <w:r>
              <w:rPr>
                <w:rFonts w:asciiTheme="minorEastAsia" w:hAnsiTheme="minorEastAsia" w:eastAsiaTheme="minorEastAsia"/>
                <w:kern w:val="0"/>
                <w:sz w:val="20"/>
              </w:rPr>
              <w:t>)</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N1</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配用刀片</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N101-1</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配用刀片</w:t>
            </w:r>
            <w:r>
              <w:rPr>
                <w:rFonts w:asciiTheme="minorEastAsia" w:hAnsiTheme="minorEastAsia" w:eastAsiaTheme="minorEastAsia"/>
                <w:kern w:val="0"/>
                <w:sz w:val="20"/>
              </w:rPr>
              <w:t>(P YT15)</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T31005FL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锋钢切刀片</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4×16×200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机油壶</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300ml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圆棒料</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45# φ</w:t>
            </w:r>
            <w:r>
              <w:rPr>
                <w:rFonts w:asciiTheme="minorEastAsia" w:hAnsiTheme="minorEastAsia" w:eastAsiaTheme="minorEastAsia"/>
                <w:kern w:val="0"/>
                <w:sz w:val="20"/>
              </w:rPr>
              <w:t>25</w:t>
            </w:r>
            <w:r>
              <w:rPr>
                <w:rFonts w:hint="eastAsia" w:cs="宋体" w:asciiTheme="minorEastAsia" w:hAnsiTheme="minorEastAsia" w:eastAsiaTheme="minorEastAsia"/>
                <w:kern w:val="0"/>
                <w:sz w:val="20"/>
              </w:rPr>
              <w:t>×</w:t>
            </w:r>
            <w:r>
              <w:rPr>
                <w:rFonts w:asciiTheme="minorEastAsia" w:hAnsiTheme="minorEastAsia" w:eastAsiaTheme="minorEastAsia"/>
                <w:kern w:val="0"/>
                <w:sz w:val="20"/>
              </w:rPr>
              <w:t>6000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30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螺纹环规</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M38</w:t>
            </w:r>
            <w:r>
              <w:rPr>
                <w:rFonts w:hint="eastAsia" w:asciiTheme="minorEastAsia" w:hAnsiTheme="minorEastAsia" w:eastAsiaTheme="minorEastAsia"/>
                <w:kern w:val="0"/>
                <w:sz w:val="20"/>
              </w:rPr>
              <w:t>×</w:t>
            </w:r>
            <w:r>
              <w:rPr>
                <w:rFonts w:asciiTheme="minorEastAsia" w:hAnsiTheme="minorEastAsia" w:eastAsiaTheme="minorEastAsia"/>
                <w:kern w:val="0"/>
                <w:sz w:val="20"/>
              </w:rPr>
              <w:t>1.5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付</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螺纹环规</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M20</w:t>
            </w:r>
            <w:r>
              <w:rPr>
                <w:rFonts w:hint="eastAsia" w:asciiTheme="minorEastAsia" w:hAnsiTheme="minorEastAsia" w:eastAsiaTheme="minorEastAsia"/>
                <w:kern w:val="0"/>
                <w:sz w:val="20"/>
              </w:rPr>
              <w:t>×</w:t>
            </w:r>
            <w:r>
              <w:rPr>
                <w:rFonts w:asciiTheme="minorEastAsia" w:hAnsiTheme="minorEastAsia" w:eastAsiaTheme="minorEastAsia"/>
                <w:kern w:val="0"/>
                <w:sz w:val="20"/>
              </w:rPr>
              <w:t>1.5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付</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麻花钻</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w:t>
            </w:r>
            <w:r>
              <w:rPr>
                <w:rFonts w:asciiTheme="minorEastAsia" w:hAnsiTheme="minorEastAsia" w:eastAsiaTheme="minorEastAsia"/>
                <w:kern w:val="0"/>
                <w:sz w:val="20"/>
              </w:rPr>
              <w:t>12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支</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麻花钻</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w:t>
            </w:r>
            <w:r>
              <w:rPr>
                <w:rFonts w:asciiTheme="minorEastAsia" w:hAnsiTheme="minorEastAsia" w:eastAsiaTheme="minorEastAsia"/>
                <w:kern w:val="0"/>
                <w:sz w:val="20"/>
              </w:rPr>
              <w:t>24</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支</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急停旋钮</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XB2BS542C</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棒料 </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w:t>
            </w:r>
            <w:r>
              <w:rPr>
                <w:rFonts w:hint="eastAsia" w:asciiTheme="minorEastAsia" w:hAnsiTheme="minorEastAsia" w:eastAsiaTheme="minorEastAsia"/>
                <w:kern w:val="0"/>
                <w:sz w:val="20"/>
              </w:rPr>
              <w:t> </w:t>
            </w:r>
            <w:r>
              <w:rPr>
                <w:rFonts w:asciiTheme="minorEastAsia" w:hAnsiTheme="minorEastAsia" w:eastAsiaTheme="minorEastAsia"/>
                <w:kern w:val="0"/>
                <w:sz w:val="20"/>
              </w:rPr>
              <w:t>Φ25×9000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尖嘴钳</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6</w:t>
            </w:r>
            <w:r>
              <w:rPr>
                <w:rFonts w:hint="eastAsia" w:asciiTheme="minorEastAsia" w:hAnsiTheme="minorEastAsia" w:eastAsiaTheme="minorEastAsia"/>
                <w:kern w:val="0"/>
                <w:sz w:val="20"/>
              </w:rPr>
              <w:t>寸</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电工刀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BK305001</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圆棒料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 Φ30×9000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铁皮工具箱</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450×200×150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Q235 155×40×5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w:t>
            </w:r>
            <w:r>
              <w:rPr>
                <w:rFonts w:hint="eastAsia" w:asciiTheme="minorEastAsia" w:hAnsiTheme="minorEastAsia" w:eastAsiaTheme="minorEastAsia"/>
                <w:kern w:val="0"/>
                <w:sz w:val="20"/>
              </w:rPr>
              <w:t xml:space="preserve"> </w:t>
            </w:r>
            <w:r>
              <w:rPr>
                <w:rFonts w:asciiTheme="minorEastAsia" w:hAnsiTheme="minorEastAsia" w:eastAsiaTheme="minorEastAsia"/>
                <w:kern w:val="0"/>
                <w:sz w:val="20"/>
              </w:rPr>
              <w:t>300×300×25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45号钢棒料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45#  φ45×6000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45号钢棒料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45#  φ50×6000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YT15外圆车刀片</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T31305F</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螺纹刀片</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16ER</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硬质合金球头立铣刀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R2×4×8×50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硬质合金球头立铣刀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R3×6×12×50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硬质合金球头立铣刀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R4×8×16×60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硬质合金直柄立铣刀（</w:t>
            </w:r>
            <w:r>
              <w:rPr>
                <w:rFonts w:asciiTheme="minorEastAsia" w:hAnsiTheme="minorEastAsia" w:eastAsiaTheme="minorEastAsia"/>
                <w:kern w:val="0"/>
                <w:sz w:val="20"/>
              </w:rPr>
              <w:t>3</w:t>
            </w:r>
            <w:r>
              <w:rPr>
                <w:rFonts w:hint="eastAsia" w:cs="宋体" w:asciiTheme="minorEastAsia" w:hAnsiTheme="minorEastAsia" w:eastAsiaTheme="minorEastAsia"/>
                <w:kern w:val="0"/>
                <w:sz w:val="20"/>
              </w:rPr>
              <w:t>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8×8×20×60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硬质合金直柄立铣刀（</w:t>
            </w:r>
            <w:r>
              <w:rPr>
                <w:rFonts w:asciiTheme="minorEastAsia" w:hAnsiTheme="minorEastAsia" w:eastAsiaTheme="minorEastAsia"/>
                <w:kern w:val="0"/>
                <w:sz w:val="20"/>
              </w:rPr>
              <w:t>3</w:t>
            </w:r>
            <w:r>
              <w:rPr>
                <w:rFonts w:hint="eastAsia" w:cs="宋体" w:asciiTheme="minorEastAsia" w:hAnsiTheme="minorEastAsia" w:eastAsiaTheme="minorEastAsia"/>
                <w:kern w:val="0"/>
                <w:sz w:val="20"/>
              </w:rPr>
              <w:t>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10×10×25×75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硬质合金直柄立铣刀（</w:t>
            </w:r>
            <w:r>
              <w:rPr>
                <w:rFonts w:asciiTheme="minorEastAsia" w:hAnsiTheme="minorEastAsia" w:eastAsiaTheme="minorEastAsia"/>
                <w:kern w:val="0"/>
                <w:sz w:val="20"/>
              </w:rPr>
              <w:t>3</w:t>
            </w:r>
            <w:r>
              <w:rPr>
                <w:rFonts w:hint="eastAsia" w:cs="宋体" w:asciiTheme="minorEastAsia" w:hAnsiTheme="minorEastAsia" w:eastAsiaTheme="minorEastAsia"/>
                <w:kern w:val="0"/>
                <w:sz w:val="20"/>
              </w:rPr>
              <w:t>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12×12×30×75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硬质合金球头立铣刀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R5×10×20×75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圆棒料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 Φ12×9000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线插板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10A  3M  8</w:t>
            </w:r>
            <w:r>
              <w:rPr>
                <w:rFonts w:hint="eastAsia" w:asciiTheme="minorEastAsia" w:hAnsiTheme="minorEastAsia" w:eastAsiaTheme="minorEastAsia"/>
                <w:kern w:val="0"/>
                <w:sz w:val="20"/>
              </w:rPr>
              <w:t>插位</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钢直尺</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150mm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研磨砂</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180目/125g</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盒</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划针</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双头</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支</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粗平锉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12寸粗齿（300mm）</w:t>
            </w:r>
          </w:p>
        </w:tc>
        <w:tc>
          <w:tcPr>
            <w:tcW w:w="638" w:type="dxa"/>
            <w:shd w:val="clear" w:color="auto" w:fill="auto"/>
            <w:vAlign w:val="center"/>
          </w:tcPr>
          <w:p>
            <w:pPr>
              <w:widowControl/>
              <w:jc w:val="center"/>
              <w:rPr>
                <w:rFonts w:cs="宋体" w:asciiTheme="minorEastAsia" w:hAnsiTheme="minorEastAsia" w:eastAsiaTheme="minorEastAsia"/>
                <w:kern w:val="0"/>
                <w:sz w:val="16"/>
                <w:szCs w:val="16"/>
              </w:rPr>
            </w:pPr>
            <w:r>
              <w:rPr>
                <w:rFonts w:hint="eastAsia" w:cs="宋体" w:asciiTheme="minorEastAsia" w:hAnsiTheme="minorEastAsia" w:eastAsiaTheme="minorEastAsia"/>
                <w:kern w:val="0"/>
                <w:sz w:val="16"/>
                <w:szCs w:val="16"/>
              </w:rPr>
              <w:t>盒（5支装）</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细平锉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12寸细齿（300mm）</w:t>
            </w:r>
          </w:p>
        </w:tc>
        <w:tc>
          <w:tcPr>
            <w:tcW w:w="638" w:type="dxa"/>
            <w:shd w:val="clear" w:color="auto" w:fill="auto"/>
            <w:vAlign w:val="center"/>
          </w:tcPr>
          <w:p>
            <w:pPr>
              <w:widowControl/>
              <w:jc w:val="center"/>
              <w:rPr>
                <w:rFonts w:cs="宋体" w:asciiTheme="minorEastAsia" w:hAnsiTheme="minorEastAsia" w:eastAsiaTheme="minorEastAsia"/>
                <w:kern w:val="0"/>
                <w:sz w:val="16"/>
                <w:szCs w:val="16"/>
              </w:rPr>
            </w:pPr>
            <w:r>
              <w:rPr>
                <w:rFonts w:hint="eastAsia" w:cs="宋体" w:asciiTheme="minorEastAsia" w:hAnsiTheme="minorEastAsia" w:eastAsiaTheme="minorEastAsia"/>
                <w:kern w:val="0"/>
                <w:sz w:val="16"/>
                <w:szCs w:val="16"/>
              </w:rPr>
              <w:t>盒（5支装）</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细圆锉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8寸细齿（200mm）</w:t>
            </w:r>
          </w:p>
        </w:tc>
        <w:tc>
          <w:tcPr>
            <w:tcW w:w="638" w:type="dxa"/>
            <w:shd w:val="clear" w:color="auto" w:fill="auto"/>
            <w:vAlign w:val="center"/>
          </w:tcPr>
          <w:p>
            <w:pPr>
              <w:widowControl/>
              <w:jc w:val="center"/>
              <w:rPr>
                <w:rFonts w:cs="宋体" w:asciiTheme="minorEastAsia" w:hAnsiTheme="minorEastAsia" w:eastAsiaTheme="minorEastAsia"/>
                <w:kern w:val="0"/>
                <w:sz w:val="16"/>
                <w:szCs w:val="16"/>
              </w:rPr>
            </w:pPr>
            <w:r>
              <w:rPr>
                <w:rFonts w:hint="eastAsia" w:cs="宋体" w:asciiTheme="minorEastAsia" w:hAnsiTheme="minorEastAsia" w:eastAsiaTheme="minorEastAsia"/>
                <w:kern w:val="0"/>
                <w:sz w:val="16"/>
                <w:szCs w:val="16"/>
              </w:rPr>
              <w:t>盒（5支装）</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细方锉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8寸细齿（200mm）</w:t>
            </w:r>
          </w:p>
        </w:tc>
        <w:tc>
          <w:tcPr>
            <w:tcW w:w="638" w:type="dxa"/>
            <w:shd w:val="clear" w:color="auto" w:fill="auto"/>
            <w:vAlign w:val="center"/>
          </w:tcPr>
          <w:p>
            <w:pPr>
              <w:widowControl/>
              <w:jc w:val="center"/>
              <w:rPr>
                <w:rFonts w:cs="宋体" w:asciiTheme="minorEastAsia" w:hAnsiTheme="minorEastAsia" w:eastAsiaTheme="minorEastAsia"/>
                <w:kern w:val="0"/>
                <w:sz w:val="16"/>
                <w:szCs w:val="16"/>
              </w:rPr>
            </w:pPr>
            <w:r>
              <w:rPr>
                <w:rFonts w:hint="eastAsia" w:cs="宋体" w:asciiTheme="minorEastAsia" w:hAnsiTheme="minorEastAsia" w:eastAsiaTheme="minorEastAsia"/>
                <w:kern w:val="0"/>
                <w:sz w:val="16"/>
                <w:szCs w:val="16"/>
              </w:rPr>
              <w:t>盒（5支装）</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扁錾</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10mm刃口</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什锦锉</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4×160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焊锡丝</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0.8mm 63A 450g</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圈</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行程开关</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JW2A-11H/L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塑胶盆</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毛刷</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4ˊ</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美工刀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40113</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铜棒</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φ40×700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锯弓</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300mm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钢丝刷</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250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钢板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105×50×20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140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端铣刀盘</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DG125-16</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配用刀片</w:t>
            </w:r>
            <w:r>
              <w:rPr>
                <w:rFonts w:asciiTheme="minorEastAsia" w:hAnsiTheme="minorEastAsia" w:eastAsiaTheme="minorEastAsia"/>
                <w:kern w:val="0"/>
                <w:sz w:val="20"/>
              </w:rPr>
              <w:t>YT14</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4160511</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螺旋圆柱铣刀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50×22×45×6</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铝合金棒</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φ50×2000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铝合金块</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100×100×50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可转位三面刃铣刀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125×32×20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螺旋周铣刀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80×32×63×10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铝合金块</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150×100×50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超硬直柄立铣刀（3齿）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8×8×22×60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超硬直柄立铣刀（3齿）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8×8×19×63</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超硬直柄立铣刀（3齿）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10×10×22×72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直柄键槽铣刀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φ8</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直柄键槽铣刀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φ10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直柄键槽铣刀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φ12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微小径铣刀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φ1</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微小径铣刀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球头铣刀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数控铣弹簧夹头ER40</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φ16</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PCB万用板</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9*15CM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电阻</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1kΩ</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电阻</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50Ω</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电阻</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220Ω</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电容</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30pF</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电解电容</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10uF</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稳压二极管</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3.3V</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发光二极管</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F5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晶振</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12MHz</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按键开关</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6*6*5MM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七段数码管</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共阴极</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锁紧座</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DIP-40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蜂鸣器</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DC3~24V</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反相器</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74LS05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电池盒</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4节装  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稳压管</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LM7085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电池</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1.5V</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节</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解码器</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74LS48</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LED</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红、绿、黄</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无酸助焊剂</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8s005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盒</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彩色杜邦线</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10P 7色</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铝芯线</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BLV2.5平方绿色</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圈</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铝芯线</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BLV2.5平方黄色</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圈</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灯泡</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螺口  220V40w</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三相四孔插座、插头</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380v</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副</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保险管</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RT23 aM1 gG4A</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保险管</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RT23 aM1 gG2A</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保险管</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RT23 aM1 gG1A</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急停开关</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LA42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急停开关</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IEC947</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 50×50×5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400</w:t>
            </w:r>
          </w:p>
        </w:tc>
        <w:tc>
          <w:tcPr>
            <w:tcW w:w="1136" w:type="dxa"/>
            <w:shd w:val="clear" w:color="auto" w:fill="auto"/>
            <w:vAlign w:val="center"/>
          </w:tcPr>
          <w:p>
            <w:pPr>
              <w:widowControl/>
              <w:jc w:val="center"/>
              <w:rPr>
                <w:rFonts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直柄扩孔钻</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φ9.8</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支</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机油</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15#</w:t>
            </w:r>
            <w:r>
              <w:rPr>
                <w:rFonts w:hint="eastAsia" w:asciiTheme="minorEastAsia" w:hAnsiTheme="minorEastAsia" w:eastAsiaTheme="minorEastAsia"/>
                <w:kern w:val="0"/>
                <w:sz w:val="20"/>
              </w:rPr>
              <w:t>（</w:t>
            </w:r>
            <w:r>
              <w:rPr>
                <w:rFonts w:asciiTheme="minorEastAsia" w:hAnsiTheme="minorEastAsia" w:eastAsiaTheme="minorEastAsia"/>
                <w:kern w:val="0"/>
                <w:sz w:val="20"/>
              </w:rPr>
              <w:t>200L/</w:t>
            </w:r>
            <w:r>
              <w:rPr>
                <w:rFonts w:hint="eastAsia" w:asciiTheme="minorEastAsia" w:hAnsiTheme="minorEastAsia" w:eastAsiaTheme="minorEastAsia"/>
                <w:kern w:val="0"/>
                <w:sz w:val="20"/>
              </w:rPr>
              <w:t>桶）</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桶</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丝锥</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M12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支</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M12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支</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塑封纸（厚）</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A4</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包</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内六角螺钉</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M6×15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活动扳手</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300×36</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内六角螺钉</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M12×30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内六角螺钉</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M8×30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内六角螺钉</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M6×25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螺母</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M6</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螺母</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M8</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螺母</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M12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弹簧垫圈</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M8</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弹簧垫圈</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M12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方块电池</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6</w:t>
            </w:r>
            <w:r>
              <w:rPr>
                <w:rFonts w:hint="eastAsia" w:asciiTheme="minorEastAsia" w:hAnsiTheme="minorEastAsia" w:eastAsiaTheme="minorEastAsia"/>
                <w:kern w:val="0"/>
                <w:sz w:val="20"/>
              </w:rPr>
              <w:t>F22 9V</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金属网软管</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w:t>
            </w:r>
            <w:r>
              <w:rPr>
                <w:rFonts w:hint="eastAsia" w:asciiTheme="minorEastAsia" w:hAnsiTheme="minorEastAsia" w:eastAsiaTheme="minorEastAsia"/>
                <w:kern w:val="0"/>
                <w:sz w:val="20"/>
              </w:rPr>
              <w:t>〞</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螺纹对刀样板</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不锈钢</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手动抽油泵</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25</w:t>
            </w:r>
            <w:r>
              <w:rPr>
                <w:rFonts w:hint="eastAsia" w:asciiTheme="minorEastAsia" w:hAnsiTheme="minorEastAsia" w:eastAsiaTheme="minorEastAsia"/>
                <w:kern w:val="0"/>
                <w:sz w:val="20"/>
              </w:rPr>
              <w:t>型</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铜芯挂锁</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φ10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双面卷闸门锁</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通用</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铁皮剪</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刃口带锯齿 可剪5mm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皮尺</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30m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护目镜</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防尘</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付</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高压汞灯</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250w   E40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高压汞灯</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160w   E27</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LED强光手电筒（细柄）</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远射350m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铣刀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R0.5*2C*4D*50L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铣刀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D0.5*2C*4D*50L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铣刀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D1*3C*4D*50L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铣刀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D2*6C*4D*50L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铣刀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D3*8C*3D*50L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铝块</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40*60*2000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线切割丝</w:t>
            </w:r>
          </w:p>
        </w:tc>
        <w:tc>
          <w:tcPr>
            <w:tcW w:w="1966" w:type="dxa"/>
            <w:shd w:val="clear" w:color="auto" w:fill="auto"/>
            <w:vAlign w:val="center"/>
          </w:tcPr>
          <w:p>
            <w:pPr>
              <w:widowControl/>
              <w:jc w:val="center"/>
              <w:rPr>
                <w:rFonts w:cs="宋体" w:asciiTheme="minorEastAsia" w:hAnsiTheme="minorEastAsia" w:eastAsiaTheme="minorEastAsia"/>
                <w:kern w:val="0"/>
                <w:sz w:val="16"/>
                <w:szCs w:val="16"/>
              </w:rPr>
            </w:pPr>
            <w:r>
              <w:rPr>
                <w:rFonts w:hint="eastAsia" w:cs="宋体" w:asciiTheme="minorEastAsia" w:hAnsiTheme="minorEastAsia" w:eastAsiaTheme="minorEastAsia"/>
                <w:kern w:val="0"/>
                <w:sz w:val="16"/>
                <w:szCs w:val="16"/>
              </w:rPr>
              <w:t>F568-9；0.18mm；1340m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圈</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打印耗材</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PLA   1.75mm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卷</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3D打印工具套件</w:t>
            </w:r>
          </w:p>
        </w:tc>
        <w:tc>
          <w:tcPr>
            <w:tcW w:w="1966" w:type="dxa"/>
            <w:shd w:val="clear" w:color="auto" w:fill="auto"/>
            <w:vAlign w:val="center"/>
          </w:tcPr>
          <w:p>
            <w:pPr>
              <w:widowControl/>
              <w:jc w:val="center"/>
              <w:rPr>
                <w:rFonts w:cs="宋体" w:asciiTheme="minorEastAsia" w:hAnsiTheme="minorEastAsia" w:eastAsiaTheme="minorEastAsia"/>
                <w:kern w:val="0"/>
                <w:sz w:val="16"/>
                <w:szCs w:val="16"/>
              </w:rPr>
            </w:pPr>
            <w:r>
              <w:rPr>
                <w:rFonts w:hint="eastAsia" w:cs="宋体" w:asciiTheme="minorEastAsia" w:hAnsiTheme="minorEastAsia" w:eastAsiaTheme="minorEastAsia"/>
                <w:kern w:val="0"/>
                <w:sz w:val="16"/>
                <w:szCs w:val="16"/>
              </w:rPr>
              <w:t>63件（含打磨机、刻刀、平口钳、锉刀）</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w:t>
            </w:r>
            <w:r>
              <w:rPr>
                <w:rFonts w:hint="eastAsia" w:asciiTheme="minorEastAsia" w:hAnsiTheme="minorEastAsia" w:eastAsiaTheme="minorEastAsia"/>
                <w:kern w:val="0"/>
                <w:sz w:val="20"/>
              </w:rPr>
              <w:t xml:space="preserve"> </w:t>
            </w:r>
            <w:r>
              <w:rPr>
                <w:rFonts w:asciiTheme="minorEastAsia" w:hAnsiTheme="minorEastAsia" w:eastAsiaTheme="minorEastAsia"/>
                <w:kern w:val="0"/>
                <w:sz w:val="20"/>
              </w:rPr>
              <w:t>240×200×30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w:t>
            </w:r>
            <w:r>
              <w:rPr>
                <w:rFonts w:hint="eastAsia" w:asciiTheme="minorEastAsia" w:hAnsiTheme="minorEastAsia" w:eastAsiaTheme="minorEastAsia"/>
                <w:kern w:val="0"/>
                <w:sz w:val="20"/>
              </w:rPr>
              <w:t xml:space="preserve"> </w:t>
            </w:r>
            <w:r>
              <w:rPr>
                <w:rFonts w:asciiTheme="minorEastAsia" w:hAnsiTheme="minorEastAsia" w:eastAsiaTheme="minorEastAsia"/>
                <w:kern w:val="0"/>
                <w:sz w:val="20"/>
              </w:rPr>
              <w:t>200×200×50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Q235 200×80×50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w:t>
            </w:r>
            <w:r>
              <w:rPr>
                <w:rFonts w:hint="eastAsia" w:asciiTheme="minorEastAsia" w:hAnsiTheme="minorEastAsia" w:eastAsiaTheme="minorEastAsia"/>
                <w:kern w:val="0"/>
                <w:sz w:val="20"/>
              </w:rPr>
              <w:t xml:space="preserve"> </w:t>
            </w:r>
            <w:r>
              <w:rPr>
                <w:rFonts w:asciiTheme="minorEastAsia" w:hAnsiTheme="minorEastAsia" w:eastAsiaTheme="minorEastAsia"/>
                <w:kern w:val="0"/>
                <w:sz w:val="20"/>
              </w:rPr>
              <w:t>450×250×45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w:t>
            </w:r>
            <w:r>
              <w:rPr>
                <w:rFonts w:hint="eastAsia" w:asciiTheme="minorEastAsia" w:hAnsiTheme="minorEastAsia" w:eastAsiaTheme="minorEastAsia"/>
                <w:kern w:val="0"/>
                <w:sz w:val="20"/>
              </w:rPr>
              <w:t xml:space="preserve"> </w:t>
            </w:r>
            <w:r>
              <w:rPr>
                <w:rFonts w:asciiTheme="minorEastAsia" w:hAnsiTheme="minorEastAsia" w:eastAsiaTheme="minorEastAsia"/>
                <w:kern w:val="0"/>
                <w:sz w:val="20"/>
              </w:rPr>
              <w:t>150×100×25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3d打印机模型后期处理专用工具</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7件套</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自喷漆</w:t>
            </w:r>
          </w:p>
        </w:tc>
        <w:tc>
          <w:tcPr>
            <w:tcW w:w="1966" w:type="dxa"/>
            <w:shd w:val="clear" w:color="auto" w:fill="auto"/>
            <w:vAlign w:val="center"/>
          </w:tcPr>
          <w:p>
            <w:pPr>
              <w:widowControl/>
              <w:jc w:val="left"/>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258g  镀金、镀铬</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瓶</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3D模型丙烯画颜料</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24色</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盒</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3D打印模型漆</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150ml  彩色</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瓶</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水管快速接头</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棉布劳保手套</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加厚</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双</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棉纱</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棉</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铣刀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D16*16D*100L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铝块</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25*400*600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铝棒</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φ300*70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铝棒</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φ80*2m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铝棒</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φ130*300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铝块</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250*180*50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铸铁直角板（曲铮）</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12寸</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简易快速分度头</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5寸（配125卡盘）</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台</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内用曲口卡簧钳</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9寸</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黑碳化硅大气孔砂轮</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200*20*32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数控90°外圆车刀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MVJNR2020K16</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164</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Q235钢板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385×210×40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165</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Q235钢板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205×165×35</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166</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Q235钢板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120×50×12</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167</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Q235钢板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150×150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168</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45钢棒料</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Φ65×6000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根</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169</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45钢棒料</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Φ50×6000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根</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170</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380*380*50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171</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210*230*40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172</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钢板加强筋</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210*95*25</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173</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平衡块钢板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125*28*53</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174</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135*230*35</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175</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板材</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370*370*50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176</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钢板材料</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300*280*32</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钢板材料</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182*120*50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钢板材料</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180*44*20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钢板材料</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122*55*35mm</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棒料</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φ120*400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棒料</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φ165*300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525"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六角头螺栓C级</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M8-60  GB/T5780-2000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0"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圆柱销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A10x50  GB/T119.1-2000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小垫圈A级</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8.4x16x1.6  GB/T848-2002</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95"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六角螺母</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M30  GB/T6172.1-2000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5"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钢珠</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SΦ9mm   GB/T17445-1998</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圆柱销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A10x30  GB/T5780-2000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525"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活结螺栓</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M20   L=180 GB/798-88</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六角螺母</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M16   GB/6170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螺栓</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M8X70  GB/5782</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平头十字螺钉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M8  GB/8191-2000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内六角圆柱头螺钉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M8X52  GB/70.1</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内螺角螺钉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GB/T70.1  M10×40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内螺角螺钉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GB/T70.1  M6×30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内螺角螺钉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GB/T70.1  M8×40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圆柱销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GB/T119.1 4M6×30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螺栓</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GB/T5782 M16×65</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xml:space="preserve"> 垫圈</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GB/T97.1  16</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xml:space="preserve"> 垫圈</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GB/T848  10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xml:space="preserve"> 垫圈</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xml:space="preserve">GB/T848   8 </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内螺角螺钉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GB/T70.1  M8×80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四工位钳工桌（配8′虎钳、隔板）</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1500*1299*800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台</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690" w:hRule="atLeast"/>
        </w:trPr>
        <w:tc>
          <w:tcPr>
            <w:tcW w:w="3886" w:type="dxa"/>
            <w:gridSpan w:val="2"/>
            <w:vAlign w:val="center"/>
          </w:tcPr>
          <w:p>
            <w:pPr>
              <w:spacing w:line="400" w:lineRule="exact"/>
              <w:ind w:left="212" w:leftChars="101" w:firstLine="420" w:firstLineChars="200"/>
              <w:contextualSpacing/>
              <w:rPr>
                <w:rFonts w:asciiTheme="minorEastAsia" w:hAnsiTheme="minorEastAsia" w:eastAsiaTheme="minorEastAsia"/>
                <w:szCs w:val="21"/>
              </w:rPr>
            </w:pPr>
            <w:r>
              <w:rPr>
                <w:rFonts w:hint="eastAsia" w:asciiTheme="minorEastAsia" w:hAnsiTheme="minorEastAsia" w:eastAsiaTheme="minorEastAsia"/>
                <w:szCs w:val="21"/>
              </w:rPr>
              <w:t>总金额（元）</w:t>
            </w:r>
          </w:p>
        </w:tc>
        <w:tc>
          <w:tcPr>
            <w:tcW w:w="5721" w:type="dxa"/>
            <w:gridSpan w:val="5"/>
            <w:vAlign w:val="center"/>
          </w:tcPr>
          <w:p>
            <w:pPr>
              <w:spacing w:line="400" w:lineRule="exact"/>
              <w:ind w:left="212" w:leftChars="101"/>
              <w:contextualSpacing/>
              <w:rPr>
                <w:rFonts w:asciiTheme="minorEastAsia" w:hAnsiTheme="minorEastAsia" w:eastAsiaTheme="minorEastAsia"/>
                <w:szCs w:val="21"/>
              </w:rPr>
            </w:pPr>
            <w:r>
              <w:rPr>
                <w:rFonts w:hint="eastAsia" w:asciiTheme="minorEastAsia" w:hAnsiTheme="minorEastAsia" w:eastAsiaTheme="minorEastAsia"/>
                <w:szCs w:val="21"/>
              </w:rPr>
              <w:t>小写：                 大写：</w:t>
            </w:r>
          </w:p>
        </w:tc>
      </w:tr>
    </w:tbl>
    <w:p>
      <w:pPr>
        <w:spacing w:line="240" w:lineRule="exact"/>
        <w:ind w:left="525" w:leftChars="50" w:hanging="420" w:hangingChars="200"/>
        <w:contextualSpacing/>
        <w:jc w:val="left"/>
        <w:rPr>
          <w:rFonts w:ascii="宋体" w:hAnsi="宋体"/>
          <w:szCs w:val="21"/>
        </w:rPr>
      </w:pPr>
    </w:p>
    <w:p>
      <w:pPr>
        <w:spacing w:line="400" w:lineRule="exact"/>
        <w:ind w:left="525" w:leftChars="50" w:hanging="420" w:hangingChars="200"/>
        <w:contextualSpacing/>
        <w:jc w:val="left"/>
        <w:rPr>
          <w:rFonts w:ascii="宋体" w:hAnsi="宋体"/>
          <w:szCs w:val="21"/>
        </w:rPr>
      </w:pPr>
      <w:r>
        <w:rPr>
          <w:rFonts w:hint="eastAsia" w:ascii="宋体" w:hAnsi="宋体"/>
          <w:szCs w:val="21"/>
        </w:rPr>
        <w:t xml:space="preserve">注：1. 报价应是最终用户验收合格后的总价，包括货物运输、保险、税费、招标文件规定的其它费用。 </w:t>
      </w:r>
    </w:p>
    <w:p>
      <w:pPr>
        <w:spacing w:line="400" w:lineRule="exact"/>
        <w:ind w:left="105" w:leftChars="50" w:firstLine="420" w:firstLineChars="200"/>
        <w:contextualSpacing/>
        <w:rPr>
          <w:rFonts w:ascii="宋体" w:hAnsi="宋体"/>
          <w:szCs w:val="21"/>
        </w:rPr>
      </w:pPr>
      <w:r>
        <w:rPr>
          <w:rFonts w:hint="eastAsia" w:ascii="宋体" w:hAnsi="宋体"/>
          <w:szCs w:val="21"/>
        </w:rPr>
        <w:t>2. 投标商家需根据使用计划和要求按时、按质、按量送达使用单位指定地点。投标产品需符合国家国家相关规定和行业标准。</w:t>
      </w:r>
    </w:p>
    <w:p>
      <w:pPr>
        <w:spacing w:line="400" w:lineRule="exact"/>
        <w:ind w:left="105" w:leftChars="50" w:firstLine="420" w:firstLineChars="200"/>
        <w:contextualSpacing/>
        <w:rPr>
          <w:rFonts w:ascii="宋体" w:hAnsi="宋体"/>
          <w:szCs w:val="21"/>
        </w:rPr>
      </w:pPr>
      <w:r>
        <w:rPr>
          <w:rFonts w:hint="eastAsia" w:ascii="宋体" w:hAnsi="宋体"/>
          <w:szCs w:val="21"/>
        </w:rPr>
        <w:t>3．“开标一览表”为多页的，每页均需由法定代表人或授权代表签字并盖投标人印章。</w:t>
      </w:r>
    </w:p>
    <w:p>
      <w:pPr>
        <w:snapToGrid w:val="0"/>
        <w:spacing w:line="320" w:lineRule="exact"/>
        <w:ind w:left="105" w:leftChars="50" w:firstLine="420" w:firstLineChars="200"/>
        <w:jc w:val="left"/>
        <w:rPr>
          <w:rFonts w:ascii="宋体" w:hAnsi="宋体"/>
          <w:szCs w:val="21"/>
        </w:rPr>
      </w:pPr>
      <w:r>
        <w:rPr>
          <w:rFonts w:hint="eastAsia" w:ascii="宋体" w:hAnsi="宋体"/>
          <w:szCs w:val="21"/>
        </w:rPr>
        <w:t>4.“开标一览表”报价合计应与“分项报价明细表”分项报价合计一致。</w:t>
      </w:r>
    </w:p>
    <w:p>
      <w:pPr>
        <w:spacing w:line="400" w:lineRule="exact"/>
        <w:ind w:left="105" w:leftChars="50" w:firstLine="420" w:firstLineChars="200"/>
        <w:contextualSpacing/>
        <w:rPr>
          <w:rFonts w:ascii="宋体" w:hAnsi="宋体"/>
          <w:szCs w:val="21"/>
        </w:rPr>
      </w:pPr>
      <w:r>
        <w:rPr>
          <w:rFonts w:hint="eastAsia" w:ascii="宋体" w:hAnsi="宋体"/>
          <w:szCs w:val="21"/>
        </w:rPr>
        <w:t xml:space="preserve">5. 严正声明：以上技术参数及要求都必须满足，否则视为无效投标；数量为概算，以实际使用量为结算依据，投标商家自己进行风险评估。 </w:t>
      </w:r>
    </w:p>
    <w:p>
      <w:pPr>
        <w:snapToGrid w:val="0"/>
        <w:spacing w:line="320" w:lineRule="exact"/>
        <w:ind w:left="105" w:leftChars="50" w:firstLine="420" w:firstLineChars="200"/>
        <w:jc w:val="left"/>
        <w:rPr>
          <w:rFonts w:ascii="宋体" w:hAnsi="宋体"/>
          <w:szCs w:val="21"/>
        </w:rPr>
      </w:pPr>
    </w:p>
    <w:p>
      <w:pPr>
        <w:spacing w:line="400" w:lineRule="exact"/>
        <w:ind w:left="105" w:leftChars="50" w:firstLine="420" w:firstLineChars="200"/>
        <w:contextualSpacing/>
        <w:rPr>
          <w:rFonts w:ascii="宋体" w:hAnsi="宋体"/>
          <w:szCs w:val="21"/>
        </w:rPr>
      </w:pPr>
      <w:r>
        <w:rPr>
          <w:rFonts w:hint="eastAsia" w:ascii="宋体" w:hAnsi="宋体"/>
          <w:szCs w:val="21"/>
        </w:rPr>
        <w:t>投标人名称：（盖章）</w:t>
      </w:r>
    </w:p>
    <w:p>
      <w:pPr>
        <w:adjustRightInd w:val="0"/>
        <w:snapToGrid w:val="0"/>
        <w:spacing w:line="320" w:lineRule="exact"/>
        <w:ind w:left="105" w:leftChars="50" w:firstLine="420" w:firstLineChars="200"/>
        <w:jc w:val="left"/>
        <w:rPr>
          <w:rFonts w:ascii="宋体" w:hAnsi="宋体"/>
          <w:szCs w:val="21"/>
        </w:rPr>
      </w:pPr>
      <w:r>
        <w:rPr>
          <w:rFonts w:hint="eastAsia" w:ascii="宋体" w:hAnsi="宋体"/>
          <w:szCs w:val="21"/>
        </w:rPr>
        <w:t>法定代表人或授权代表（签字或盖章）：</w:t>
      </w:r>
    </w:p>
    <w:p>
      <w:pPr>
        <w:adjustRightInd w:val="0"/>
        <w:snapToGrid w:val="0"/>
        <w:spacing w:line="320" w:lineRule="exact"/>
        <w:ind w:left="105" w:leftChars="50" w:firstLine="420" w:firstLineChars="200"/>
        <w:jc w:val="left"/>
        <w:rPr>
          <w:rFonts w:ascii="宋体" w:hAnsi="宋体"/>
          <w:szCs w:val="21"/>
        </w:rPr>
      </w:pPr>
      <w:r>
        <w:rPr>
          <w:rFonts w:hint="eastAsia" w:ascii="宋体" w:hAnsi="宋体"/>
          <w:szCs w:val="21"/>
        </w:rPr>
        <w:t>日期：       年   月   日</w:t>
      </w:r>
    </w:p>
    <w:p>
      <w:pPr>
        <w:spacing w:line="400" w:lineRule="exact"/>
        <w:ind w:left="105" w:leftChars="50" w:firstLine="420" w:firstLineChars="200"/>
        <w:contextualSpacing/>
        <w:rPr>
          <w:rFonts w:ascii="宋体" w:hAnsi="宋体"/>
          <w:szCs w:val="21"/>
        </w:rPr>
      </w:pPr>
    </w:p>
    <w:p>
      <w:pPr>
        <w:spacing w:line="400" w:lineRule="exact"/>
        <w:ind w:left="105" w:leftChars="50" w:firstLine="420" w:firstLineChars="200"/>
        <w:contextualSpacing/>
        <w:rPr>
          <w:rFonts w:ascii="宋体" w:hAnsi="宋体"/>
          <w:szCs w:val="21"/>
        </w:rPr>
      </w:pPr>
    </w:p>
    <w:p>
      <w:pPr>
        <w:spacing w:line="400" w:lineRule="exact"/>
        <w:ind w:left="105" w:leftChars="50" w:firstLine="420" w:firstLineChars="200"/>
        <w:contextualSpacing/>
        <w:rPr>
          <w:rFonts w:ascii="宋体" w:hAnsi="宋体"/>
          <w:szCs w:val="21"/>
        </w:rPr>
      </w:pPr>
    </w:p>
    <w:p>
      <w:pPr>
        <w:spacing w:line="400" w:lineRule="exact"/>
        <w:ind w:left="105" w:leftChars="50" w:firstLine="420" w:firstLineChars="200"/>
        <w:contextualSpacing/>
        <w:rPr>
          <w:rFonts w:ascii="宋体" w:hAnsi="宋体"/>
          <w:szCs w:val="21"/>
        </w:rPr>
      </w:pPr>
    </w:p>
    <w:p>
      <w:pPr>
        <w:spacing w:line="400" w:lineRule="exact"/>
        <w:ind w:left="105" w:leftChars="50" w:firstLine="420" w:firstLineChars="200"/>
        <w:contextualSpacing/>
        <w:rPr>
          <w:rFonts w:ascii="宋体" w:hAnsi="宋体"/>
          <w:szCs w:val="21"/>
        </w:rPr>
      </w:pPr>
    </w:p>
    <w:p>
      <w:pPr>
        <w:spacing w:line="400" w:lineRule="exact"/>
        <w:ind w:left="105" w:leftChars="50" w:firstLine="420" w:firstLineChars="200"/>
        <w:contextualSpacing/>
        <w:rPr>
          <w:rFonts w:ascii="宋体" w:hAnsi="宋体"/>
          <w:szCs w:val="21"/>
        </w:rPr>
      </w:pPr>
    </w:p>
    <w:p>
      <w:pPr>
        <w:snapToGrid w:val="0"/>
        <w:spacing w:line="320" w:lineRule="exact"/>
        <w:rPr>
          <w:rFonts w:ascii="宋体" w:hAnsi="宋体"/>
          <w:szCs w:val="21"/>
        </w:rPr>
      </w:pPr>
      <w:bookmarkStart w:id="167" w:name="_Toc308164832"/>
      <w:bookmarkStart w:id="168" w:name="_Toc308164962"/>
      <w:bookmarkStart w:id="169" w:name="_Toc308164841"/>
      <w:bookmarkStart w:id="170" w:name="_Toc308164967"/>
      <w:bookmarkStart w:id="171" w:name="_Toc283712541"/>
      <w:bookmarkStart w:id="172" w:name="_Toc217446096"/>
    </w:p>
    <w:p>
      <w:pPr>
        <w:snapToGrid w:val="0"/>
        <w:spacing w:line="320" w:lineRule="exact"/>
        <w:rPr>
          <w:rFonts w:ascii="宋体" w:hAnsi="宋体"/>
          <w:szCs w:val="21"/>
        </w:rPr>
      </w:pPr>
    </w:p>
    <w:p>
      <w:pPr>
        <w:snapToGrid w:val="0"/>
        <w:spacing w:line="320" w:lineRule="exact"/>
        <w:rPr>
          <w:rFonts w:ascii="宋体" w:hAnsi="宋体"/>
          <w:szCs w:val="21"/>
        </w:rPr>
      </w:pPr>
    </w:p>
    <w:p>
      <w:pPr>
        <w:snapToGrid w:val="0"/>
        <w:spacing w:line="320" w:lineRule="exact"/>
        <w:rPr>
          <w:rFonts w:ascii="宋体" w:hAnsi="宋体"/>
          <w:szCs w:val="21"/>
        </w:rPr>
      </w:pPr>
    </w:p>
    <w:p>
      <w:pPr>
        <w:snapToGrid w:val="0"/>
        <w:spacing w:line="320" w:lineRule="exact"/>
        <w:rPr>
          <w:rFonts w:ascii="宋体" w:hAnsi="宋体"/>
          <w:szCs w:val="21"/>
        </w:rPr>
      </w:pPr>
    </w:p>
    <w:p>
      <w:pPr>
        <w:snapToGrid w:val="0"/>
        <w:spacing w:line="320" w:lineRule="exact"/>
        <w:rPr>
          <w:rFonts w:ascii="宋体" w:hAnsi="宋体"/>
          <w:szCs w:val="21"/>
        </w:rPr>
      </w:pPr>
    </w:p>
    <w:p>
      <w:pPr>
        <w:snapToGrid w:val="0"/>
        <w:spacing w:line="320" w:lineRule="exact"/>
        <w:rPr>
          <w:rFonts w:ascii="宋体" w:hAnsi="宋体"/>
          <w:szCs w:val="21"/>
        </w:rPr>
      </w:pPr>
    </w:p>
    <w:p>
      <w:pPr>
        <w:snapToGrid w:val="0"/>
        <w:spacing w:line="320" w:lineRule="exact"/>
        <w:rPr>
          <w:rFonts w:ascii="宋体" w:hAnsi="宋体"/>
          <w:szCs w:val="21"/>
        </w:rPr>
      </w:pPr>
    </w:p>
    <w:p>
      <w:pPr>
        <w:snapToGrid w:val="0"/>
        <w:spacing w:line="320" w:lineRule="exact"/>
        <w:rPr>
          <w:rFonts w:ascii="宋体" w:hAnsi="宋体"/>
          <w:szCs w:val="21"/>
        </w:rPr>
      </w:pPr>
    </w:p>
    <w:p>
      <w:pPr>
        <w:snapToGrid w:val="0"/>
        <w:spacing w:line="320" w:lineRule="exact"/>
        <w:rPr>
          <w:rFonts w:ascii="宋体" w:hAnsi="宋体"/>
          <w:szCs w:val="21"/>
        </w:rPr>
      </w:pPr>
    </w:p>
    <w:p>
      <w:pPr>
        <w:snapToGrid w:val="0"/>
        <w:spacing w:line="320" w:lineRule="exact"/>
        <w:rPr>
          <w:rFonts w:ascii="宋体" w:hAnsi="宋体"/>
          <w:szCs w:val="21"/>
        </w:rPr>
      </w:pPr>
    </w:p>
    <w:p>
      <w:pPr>
        <w:snapToGrid w:val="0"/>
        <w:spacing w:line="320" w:lineRule="exact"/>
        <w:rPr>
          <w:rFonts w:ascii="宋体" w:hAnsi="宋体"/>
          <w:szCs w:val="21"/>
        </w:rPr>
      </w:pPr>
    </w:p>
    <w:p>
      <w:pPr>
        <w:snapToGrid w:val="0"/>
        <w:spacing w:line="320" w:lineRule="exact"/>
        <w:rPr>
          <w:rFonts w:ascii="宋体" w:hAnsi="宋体"/>
          <w:szCs w:val="21"/>
        </w:rPr>
      </w:pPr>
    </w:p>
    <w:p>
      <w:pPr>
        <w:snapToGrid w:val="0"/>
        <w:spacing w:line="320" w:lineRule="exact"/>
        <w:rPr>
          <w:rFonts w:ascii="宋体" w:hAnsi="宋体"/>
          <w:szCs w:val="21"/>
        </w:rPr>
      </w:pPr>
    </w:p>
    <w:p>
      <w:pPr>
        <w:snapToGrid w:val="0"/>
        <w:spacing w:line="320" w:lineRule="exact"/>
        <w:rPr>
          <w:rFonts w:ascii="宋体" w:hAnsi="宋体"/>
          <w:szCs w:val="21"/>
        </w:rPr>
      </w:pPr>
    </w:p>
    <w:p>
      <w:pPr>
        <w:snapToGrid w:val="0"/>
        <w:spacing w:line="320" w:lineRule="exact"/>
        <w:rPr>
          <w:rFonts w:ascii="宋体" w:hAnsi="宋体"/>
          <w:szCs w:val="21"/>
        </w:rPr>
      </w:pPr>
    </w:p>
    <w:p>
      <w:pPr>
        <w:snapToGrid w:val="0"/>
        <w:spacing w:line="320" w:lineRule="exact"/>
        <w:rPr>
          <w:rFonts w:ascii="宋体" w:hAnsi="宋体"/>
          <w:szCs w:val="21"/>
        </w:rPr>
      </w:pPr>
    </w:p>
    <w:p>
      <w:pPr>
        <w:snapToGrid w:val="0"/>
        <w:spacing w:line="320" w:lineRule="exact"/>
        <w:ind w:left="105" w:leftChars="50" w:firstLine="3078" w:firstLineChars="1095"/>
        <w:rPr>
          <w:rFonts w:ascii="宋体" w:hAnsi="宋体"/>
          <w:bCs/>
          <w:szCs w:val="21"/>
        </w:rPr>
      </w:pPr>
      <w:bookmarkStart w:id="173" w:name="_Toc308164826"/>
      <w:bookmarkStart w:id="174" w:name="_Toc217446087"/>
      <w:r>
        <w:rPr>
          <w:rFonts w:hint="eastAsia" w:ascii="宋体" w:hAnsi="宋体"/>
          <w:b/>
          <w:sz w:val="28"/>
          <w:szCs w:val="28"/>
        </w:rPr>
        <w:t>五、投标人基本情况表</w:t>
      </w:r>
    </w:p>
    <w:p>
      <w:pPr>
        <w:autoSpaceDE w:val="0"/>
        <w:autoSpaceDN w:val="0"/>
        <w:adjustRightInd w:val="0"/>
        <w:spacing w:line="320" w:lineRule="exact"/>
        <w:ind w:left="105" w:leftChars="50"/>
        <w:contextualSpacing/>
        <w:jc w:val="center"/>
        <w:rPr>
          <w:rFonts w:ascii="宋体" w:hAnsi="宋体"/>
          <w:kern w:val="0"/>
          <w:szCs w:val="21"/>
        </w:rPr>
      </w:pPr>
    </w:p>
    <w:tbl>
      <w:tblPr>
        <w:tblStyle w:val="63"/>
        <w:tblW w:w="9465"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906"/>
        <w:gridCol w:w="1046"/>
        <w:gridCol w:w="1337"/>
        <w:gridCol w:w="1357"/>
        <w:gridCol w:w="8"/>
        <w:gridCol w:w="1436"/>
        <w:gridCol w:w="395"/>
        <w:gridCol w:w="720"/>
        <w:gridCol w:w="1260"/>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PrEx>
        <w:trPr>
          <w:cantSplit/>
          <w:trHeight w:val="462" w:hRule="atLeast"/>
        </w:trPr>
        <w:tc>
          <w:tcPr>
            <w:tcW w:w="1906" w:type="dxa"/>
            <w:tcBorders>
              <w:top w:val="single" w:color="auto" w:sz="18" w:space="0"/>
              <w:left w:val="single" w:color="auto" w:sz="18"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投标人名称</w:t>
            </w:r>
          </w:p>
        </w:tc>
        <w:tc>
          <w:tcPr>
            <w:tcW w:w="7559" w:type="dxa"/>
            <w:gridSpan w:val="8"/>
            <w:tcBorders>
              <w:top w:val="single" w:color="auto" w:sz="18" w:space="0"/>
              <w:left w:val="single" w:color="auto" w:sz="6" w:space="0"/>
              <w:bottom w:val="single" w:color="auto" w:sz="6" w:space="0"/>
              <w:right w:val="single" w:color="auto" w:sz="18"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Ex>
        <w:trPr>
          <w:cantSplit/>
          <w:trHeight w:val="462" w:hRule="atLeast"/>
        </w:trPr>
        <w:tc>
          <w:tcPr>
            <w:tcW w:w="1906"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注册地址</w:t>
            </w:r>
          </w:p>
        </w:tc>
        <w:tc>
          <w:tcPr>
            <w:tcW w:w="3748" w:type="dxa"/>
            <w:gridSpan w:val="4"/>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p>
        </w:tc>
        <w:tc>
          <w:tcPr>
            <w:tcW w:w="143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邮政编码</w:t>
            </w:r>
          </w:p>
        </w:tc>
        <w:tc>
          <w:tcPr>
            <w:tcW w:w="2375" w:type="dxa"/>
            <w:gridSpan w:val="3"/>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Ex>
        <w:trPr>
          <w:cantSplit/>
          <w:trHeight w:val="442" w:hRule="atLeast"/>
        </w:trPr>
        <w:tc>
          <w:tcPr>
            <w:tcW w:w="1906" w:type="dxa"/>
            <w:vMerge w:val="restart"/>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联系方式</w:t>
            </w:r>
          </w:p>
        </w:tc>
        <w:tc>
          <w:tcPr>
            <w:tcW w:w="104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联系人</w:t>
            </w:r>
          </w:p>
        </w:tc>
        <w:tc>
          <w:tcPr>
            <w:tcW w:w="2694"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p>
        </w:tc>
        <w:tc>
          <w:tcPr>
            <w:tcW w:w="1444"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电话</w:t>
            </w:r>
          </w:p>
        </w:tc>
        <w:tc>
          <w:tcPr>
            <w:tcW w:w="2375" w:type="dxa"/>
            <w:gridSpan w:val="3"/>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Ex>
        <w:trPr>
          <w:cantSplit/>
          <w:trHeight w:val="415" w:hRule="atLeast"/>
        </w:trPr>
        <w:tc>
          <w:tcPr>
            <w:tcW w:w="1906" w:type="dxa"/>
            <w:vMerge w:val="continue"/>
            <w:tcBorders>
              <w:top w:val="single" w:color="auto" w:sz="6" w:space="0"/>
              <w:left w:val="single" w:color="auto" w:sz="18" w:space="0"/>
              <w:bottom w:val="single" w:color="auto" w:sz="6" w:space="0"/>
              <w:right w:val="single" w:color="auto" w:sz="6" w:space="0"/>
            </w:tcBorders>
            <w:vAlign w:val="center"/>
          </w:tcPr>
          <w:p>
            <w:pPr>
              <w:widowControl/>
              <w:jc w:val="left"/>
              <w:rPr>
                <w:rFonts w:ascii="宋体" w:hAnsi="宋体"/>
                <w:kern w:val="0"/>
                <w:szCs w:val="21"/>
              </w:rPr>
            </w:pPr>
          </w:p>
        </w:tc>
        <w:tc>
          <w:tcPr>
            <w:tcW w:w="104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传真</w:t>
            </w:r>
          </w:p>
        </w:tc>
        <w:tc>
          <w:tcPr>
            <w:tcW w:w="2694"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p>
        </w:tc>
        <w:tc>
          <w:tcPr>
            <w:tcW w:w="1444"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网址</w:t>
            </w:r>
          </w:p>
        </w:tc>
        <w:tc>
          <w:tcPr>
            <w:tcW w:w="2375" w:type="dxa"/>
            <w:gridSpan w:val="3"/>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Ex>
        <w:trPr>
          <w:cantSplit/>
          <w:trHeight w:val="442" w:hRule="atLeast"/>
        </w:trPr>
        <w:tc>
          <w:tcPr>
            <w:tcW w:w="1906"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组织结构</w:t>
            </w:r>
          </w:p>
        </w:tc>
        <w:tc>
          <w:tcPr>
            <w:tcW w:w="7559" w:type="dxa"/>
            <w:gridSpan w:val="8"/>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PrEx>
        <w:trPr>
          <w:trHeight w:val="462" w:hRule="atLeast"/>
        </w:trPr>
        <w:tc>
          <w:tcPr>
            <w:tcW w:w="1906"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法定代表人</w:t>
            </w:r>
          </w:p>
        </w:tc>
        <w:tc>
          <w:tcPr>
            <w:tcW w:w="104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姓名</w:t>
            </w:r>
          </w:p>
        </w:tc>
        <w:tc>
          <w:tcPr>
            <w:tcW w:w="133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p>
        </w:tc>
        <w:tc>
          <w:tcPr>
            <w:tcW w:w="135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技术职称</w:t>
            </w:r>
          </w:p>
        </w:tc>
        <w:tc>
          <w:tcPr>
            <w:tcW w:w="1444"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p>
        </w:tc>
        <w:tc>
          <w:tcPr>
            <w:tcW w:w="1115"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电话</w:t>
            </w:r>
          </w:p>
        </w:tc>
        <w:tc>
          <w:tcPr>
            <w:tcW w:w="1260" w:type="dxa"/>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320" w:lineRule="exact"/>
              <w:ind w:left="105" w:leftChars="50"/>
              <w:contextualSpacing/>
              <w:jc w:val="center"/>
              <w:rPr>
                <w:rFonts w:ascii="宋体" w:hAnsi="宋体"/>
                <w:b/>
                <w:bCs/>
                <w:kern w:val="0"/>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PrEx>
        <w:trPr>
          <w:trHeight w:val="442" w:hRule="atLeast"/>
        </w:trPr>
        <w:tc>
          <w:tcPr>
            <w:tcW w:w="1906"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技术负责人</w:t>
            </w:r>
          </w:p>
        </w:tc>
        <w:tc>
          <w:tcPr>
            <w:tcW w:w="104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姓名</w:t>
            </w:r>
          </w:p>
        </w:tc>
        <w:tc>
          <w:tcPr>
            <w:tcW w:w="133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p>
        </w:tc>
        <w:tc>
          <w:tcPr>
            <w:tcW w:w="1357"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技术职称</w:t>
            </w:r>
          </w:p>
        </w:tc>
        <w:tc>
          <w:tcPr>
            <w:tcW w:w="1444"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p>
        </w:tc>
        <w:tc>
          <w:tcPr>
            <w:tcW w:w="1115"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电话</w:t>
            </w:r>
          </w:p>
        </w:tc>
        <w:tc>
          <w:tcPr>
            <w:tcW w:w="1260" w:type="dxa"/>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320" w:lineRule="exact"/>
              <w:ind w:left="105" w:leftChars="50"/>
              <w:contextualSpacing/>
              <w:jc w:val="center"/>
              <w:rPr>
                <w:rFonts w:ascii="宋体" w:hAnsi="宋体"/>
                <w:b/>
                <w:bCs/>
                <w:kern w:val="0"/>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Ex>
        <w:trPr>
          <w:cantSplit/>
          <w:trHeight w:val="442" w:hRule="atLeast"/>
        </w:trPr>
        <w:tc>
          <w:tcPr>
            <w:tcW w:w="1906"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成立时间</w:t>
            </w:r>
          </w:p>
        </w:tc>
        <w:tc>
          <w:tcPr>
            <w:tcW w:w="238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p>
        </w:tc>
        <w:tc>
          <w:tcPr>
            <w:tcW w:w="5176" w:type="dxa"/>
            <w:gridSpan w:val="6"/>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320" w:lineRule="exact"/>
              <w:ind w:left="105" w:leftChars="50" w:firstLine="1470" w:firstLineChars="700"/>
              <w:contextualSpacing/>
              <w:rPr>
                <w:rFonts w:ascii="宋体" w:hAnsi="宋体"/>
                <w:kern w:val="0"/>
                <w:szCs w:val="21"/>
              </w:rPr>
            </w:pPr>
            <w:r>
              <w:rPr>
                <w:rFonts w:hint="eastAsia" w:ascii="宋体" w:hAnsi="宋体"/>
                <w:kern w:val="0"/>
                <w:szCs w:val="21"/>
              </w:rPr>
              <w:t>员工总人数：</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Ex>
        <w:trPr>
          <w:cantSplit/>
          <w:trHeight w:val="462" w:hRule="atLeast"/>
        </w:trPr>
        <w:tc>
          <w:tcPr>
            <w:tcW w:w="1906"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企业资质等级</w:t>
            </w:r>
          </w:p>
        </w:tc>
        <w:tc>
          <w:tcPr>
            <w:tcW w:w="238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p>
        </w:tc>
        <w:tc>
          <w:tcPr>
            <w:tcW w:w="1357"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其中</w:t>
            </w:r>
          </w:p>
        </w:tc>
        <w:tc>
          <w:tcPr>
            <w:tcW w:w="1839"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项目经理</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320" w:lineRule="exact"/>
              <w:ind w:left="105" w:leftChars="50"/>
              <w:contextualSpacing/>
              <w:jc w:val="center"/>
              <w:rPr>
                <w:rFonts w:ascii="宋体" w:hAnsi="宋体"/>
                <w:b/>
                <w:bCs/>
                <w:kern w:val="0"/>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Ex>
        <w:trPr>
          <w:cantSplit/>
          <w:trHeight w:val="442" w:hRule="atLeast"/>
        </w:trPr>
        <w:tc>
          <w:tcPr>
            <w:tcW w:w="1906"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营业执照号</w:t>
            </w:r>
          </w:p>
        </w:tc>
        <w:tc>
          <w:tcPr>
            <w:tcW w:w="238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p>
        </w:tc>
        <w:tc>
          <w:tcPr>
            <w:tcW w:w="1357"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宋体" w:hAnsi="宋体"/>
                <w:kern w:val="0"/>
                <w:szCs w:val="21"/>
              </w:rPr>
            </w:pPr>
          </w:p>
        </w:tc>
        <w:tc>
          <w:tcPr>
            <w:tcW w:w="1839"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高级职称人员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320" w:lineRule="exact"/>
              <w:ind w:left="105" w:leftChars="50"/>
              <w:contextualSpacing/>
              <w:jc w:val="center"/>
              <w:rPr>
                <w:rFonts w:ascii="宋体" w:hAnsi="宋体"/>
                <w:b/>
                <w:bCs/>
                <w:kern w:val="0"/>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Ex>
        <w:trPr>
          <w:cantSplit/>
          <w:trHeight w:val="442" w:hRule="atLeast"/>
        </w:trPr>
        <w:tc>
          <w:tcPr>
            <w:tcW w:w="1906"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注册资金</w:t>
            </w:r>
          </w:p>
        </w:tc>
        <w:tc>
          <w:tcPr>
            <w:tcW w:w="238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p>
        </w:tc>
        <w:tc>
          <w:tcPr>
            <w:tcW w:w="1357"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宋体" w:hAnsi="宋体"/>
                <w:kern w:val="0"/>
                <w:szCs w:val="21"/>
              </w:rPr>
            </w:pPr>
          </w:p>
        </w:tc>
        <w:tc>
          <w:tcPr>
            <w:tcW w:w="1839"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中级职称人员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320" w:lineRule="exact"/>
              <w:ind w:left="105" w:leftChars="50"/>
              <w:contextualSpacing/>
              <w:jc w:val="center"/>
              <w:rPr>
                <w:rFonts w:ascii="宋体" w:hAnsi="宋体"/>
                <w:b/>
                <w:bCs/>
                <w:kern w:val="0"/>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PrEx>
        <w:trPr>
          <w:cantSplit/>
          <w:trHeight w:val="462" w:hRule="atLeast"/>
        </w:trPr>
        <w:tc>
          <w:tcPr>
            <w:tcW w:w="1906"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开户银行</w:t>
            </w:r>
          </w:p>
        </w:tc>
        <w:tc>
          <w:tcPr>
            <w:tcW w:w="238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p>
        </w:tc>
        <w:tc>
          <w:tcPr>
            <w:tcW w:w="1357"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宋体" w:hAnsi="宋体"/>
                <w:kern w:val="0"/>
                <w:szCs w:val="21"/>
              </w:rPr>
            </w:pPr>
          </w:p>
        </w:tc>
        <w:tc>
          <w:tcPr>
            <w:tcW w:w="1839"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初级职称人员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320" w:lineRule="exact"/>
              <w:ind w:left="105" w:leftChars="50"/>
              <w:contextualSpacing/>
              <w:jc w:val="center"/>
              <w:rPr>
                <w:rFonts w:ascii="宋体" w:hAnsi="宋体"/>
                <w:b/>
                <w:bCs/>
                <w:kern w:val="0"/>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PrEx>
        <w:trPr>
          <w:cantSplit/>
          <w:trHeight w:val="442" w:hRule="atLeast"/>
        </w:trPr>
        <w:tc>
          <w:tcPr>
            <w:tcW w:w="1906"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账号</w:t>
            </w:r>
          </w:p>
        </w:tc>
        <w:tc>
          <w:tcPr>
            <w:tcW w:w="2383"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p>
        </w:tc>
        <w:tc>
          <w:tcPr>
            <w:tcW w:w="1357"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宋体" w:hAnsi="宋体"/>
                <w:kern w:val="0"/>
                <w:szCs w:val="21"/>
              </w:rPr>
            </w:pPr>
          </w:p>
        </w:tc>
        <w:tc>
          <w:tcPr>
            <w:tcW w:w="1839"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技工</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320" w:lineRule="exact"/>
              <w:ind w:left="105" w:leftChars="50"/>
              <w:contextualSpacing/>
              <w:jc w:val="center"/>
              <w:rPr>
                <w:rFonts w:ascii="宋体" w:hAnsi="宋体"/>
                <w:b/>
                <w:bCs/>
                <w:kern w:val="0"/>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Ex>
        <w:trPr>
          <w:cantSplit/>
          <w:trHeight w:val="2442" w:hRule="atLeast"/>
        </w:trPr>
        <w:tc>
          <w:tcPr>
            <w:tcW w:w="1906" w:type="dxa"/>
            <w:tcBorders>
              <w:top w:val="single" w:color="auto" w:sz="6" w:space="0"/>
              <w:left w:val="single" w:color="auto" w:sz="18" w:space="0"/>
              <w:bottom w:val="single" w:color="auto" w:sz="6" w:space="0"/>
              <w:right w:val="single" w:color="auto" w:sz="6" w:space="0"/>
            </w:tcBorders>
            <w:vAlign w:val="center"/>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经营范围</w:t>
            </w:r>
          </w:p>
        </w:tc>
        <w:tc>
          <w:tcPr>
            <w:tcW w:w="7559" w:type="dxa"/>
            <w:gridSpan w:val="8"/>
            <w:tcBorders>
              <w:top w:val="single" w:color="auto" w:sz="6" w:space="0"/>
              <w:left w:val="single" w:color="auto" w:sz="6" w:space="0"/>
              <w:bottom w:val="single" w:color="auto" w:sz="6" w:space="0"/>
              <w:right w:val="single" w:color="auto" w:sz="18" w:space="0"/>
            </w:tcBorders>
            <w:vAlign w:val="center"/>
          </w:tcPr>
          <w:p>
            <w:pPr>
              <w:autoSpaceDE w:val="0"/>
              <w:autoSpaceDN w:val="0"/>
              <w:adjustRightInd w:val="0"/>
              <w:spacing w:line="320" w:lineRule="exact"/>
              <w:ind w:left="105" w:leftChars="50"/>
              <w:contextualSpacing/>
              <w:rPr>
                <w:rFonts w:ascii="宋体" w:hAnsi="宋体"/>
                <w:b/>
                <w:bCs/>
                <w:kern w:val="0"/>
                <w:szCs w:val="2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Ex>
        <w:trPr>
          <w:cantSplit/>
          <w:trHeight w:val="1072" w:hRule="atLeast"/>
        </w:trPr>
        <w:tc>
          <w:tcPr>
            <w:tcW w:w="1906" w:type="dxa"/>
            <w:tcBorders>
              <w:top w:val="single" w:color="auto" w:sz="6" w:space="0"/>
              <w:left w:val="single" w:color="auto" w:sz="18" w:space="0"/>
              <w:bottom w:val="single" w:color="auto" w:sz="18" w:space="0"/>
              <w:right w:val="single" w:color="auto" w:sz="6" w:space="0"/>
            </w:tcBorders>
          </w:tcPr>
          <w:p>
            <w:pPr>
              <w:autoSpaceDE w:val="0"/>
              <w:autoSpaceDN w:val="0"/>
              <w:adjustRightInd w:val="0"/>
              <w:spacing w:line="320" w:lineRule="exact"/>
              <w:ind w:left="105" w:leftChars="50"/>
              <w:contextualSpacing/>
              <w:jc w:val="center"/>
              <w:rPr>
                <w:rFonts w:ascii="宋体" w:hAnsi="宋体"/>
                <w:kern w:val="0"/>
                <w:szCs w:val="21"/>
              </w:rPr>
            </w:pPr>
            <w:r>
              <w:rPr>
                <w:rFonts w:hint="eastAsia" w:ascii="宋体" w:hAnsi="宋体"/>
                <w:kern w:val="0"/>
                <w:szCs w:val="21"/>
              </w:rPr>
              <w:t>备注</w:t>
            </w:r>
          </w:p>
        </w:tc>
        <w:tc>
          <w:tcPr>
            <w:tcW w:w="7559" w:type="dxa"/>
            <w:gridSpan w:val="8"/>
            <w:tcBorders>
              <w:top w:val="single" w:color="auto" w:sz="6" w:space="0"/>
              <w:left w:val="single" w:color="auto" w:sz="6" w:space="0"/>
              <w:bottom w:val="single" w:color="auto" w:sz="18" w:space="0"/>
              <w:right w:val="single" w:color="auto" w:sz="18" w:space="0"/>
            </w:tcBorders>
          </w:tcPr>
          <w:p>
            <w:pPr>
              <w:autoSpaceDE w:val="0"/>
              <w:autoSpaceDN w:val="0"/>
              <w:adjustRightInd w:val="0"/>
              <w:spacing w:line="320" w:lineRule="exact"/>
              <w:ind w:left="105" w:leftChars="50"/>
              <w:contextualSpacing/>
              <w:jc w:val="left"/>
              <w:rPr>
                <w:rFonts w:ascii="宋体" w:hAnsi="宋体"/>
                <w:kern w:val="0"/>
                <w:szCs w:val="21"/>
              </w:rPr>
            </w:pPr>
          </w:p>
        </w:tc>
      </w:tr>
    </w:tbl>
    <w:p>
      <w:pPr>
        <w:adjustRightInd w:val="0"/>
        <w:spacing w:line="320" w:lineRule="exact"/>
        <w:ind w:left="105" w:leftChars="50" w:firstLine="412" w:firstLineChars="196"/>
        <w:contextualSpacing/>
        <w:jc w:val="left"/>
        <w:rPr>
          <w:rFonts w:ascii="宋体" w:hAnsi="宋体"/>
          <w:bCs/>
          <w:szCs w:val="21"/>
        </w:rPr>
      </w:pPr>
    </w:p>
    <w:p>
      <w:pPr>
        <w:adjustRightInd w:val="0"/>
        <w:spacing w:line="320" w:lineRule="exact"/>
        <w:ind w:left="105" w:leftChars="50" w:firstLine="412" w:firstLineChars="196"/>
        <w:contextualSpacing/>
        <w:jc w:val="left"/>
        <w:rPr>
          <w:rFonts w:ascii="宋体" w:hAnsi="宋体"/>
          <w:bCs/>
          <w:szCs w:val="21"/>
        </w:rPr>
      </w:pPr>
    </w:p>
    <w:p>
      <w:pPr>
        <w:adjustRightInd w:val="0"/>
        <w:spacing w:line="320" w:lineRule="exact"/>
        <w:ind w:left="105" w:leftChars="50" w:firstLine="412" w:firstLineChars="196"/>
        <w:contextualSpacing/>
        <w:jc w:val="left"/>
        <w:rPr>
          <w:rFonts w:ascii="宋体" w:hAnsi="宋体"/>
          <w:bCs/>
          <w:szCs w:val="21"/>
        </w:rPr>
      </w:pPr>
    </w:p>
    <w:p>
      <w:pPr>
        <w:adjustRightInd w:val="0"/>
        <w:spacing w:line="320" w:lineRule="exact"/>
        <w:ind w:left="105" w:leftChars="50" w:firstLine="412" w:firstLineChars="196"/>
        <w:contextualSpacing/>
        <w:jc w:val="left"/>
        <w:rPr>
          <w:rFonts w:ascii="宋体" w:hAnsi="宋体"/>
          <w:bCs/>
          <w:szCs w:val="21"/>
        </w:rPr>
      </w:pPr>
      <w:r>
        <w:rPr>
          <w:rFonts w:hint="eastAsia" w:ascii="宋体" w:hAnsi="宋体"/>
          <w:bCs/>
          <w:szCs w:val="21"/>
        </w:rPr>
        <w:t>投标人名称：（盖章）</w:t>
      </w:r>
    </w:p>
    <w:p>
      <w:pPr>
        <w:adjustRightInd w:val="0"/>
        <w:spacing w:line="320" w:lineRule="exact"/>
        <w:ind w:left="105" w:leftChars="50" w:firstLine="368" w:firstLineChars="175"/>
        <w:contextualSpacing/>
        <w:jc w:val="left"/>
        <w:rPr>
          <w:rFonts w:ascii="宋体" w:hAnsi="宋体"/>
          <w:bCs/>
          <w:szCs w:val="21"/>
        </w:rPr>
      </w:pPr>
      <w:r>
        <w:rPr>
          <w:rFonts w:hint="eastAsia" w:ascii="宋体" w:hAnsi="宋体"/>
          <w:szCs w:val="21"/>
        </w:rPr>
        <w:t>法定代表人或授权代表（签字或盖章）</w:t>
      </w:r>
      <w:r>
        <w:rPr>
          <w:rFonts w:hint="eastAsia" w:ascii="宋体" w:hAnsi="宋体"/>
          <w:bCs/>
          <w:szCs w:val="21"/>
        </w:rPr>
        <w:t>：</w:t>
      </w:r>
    </w:p>
    <w:p>
      <w:pPr>
        <w:spacing w:line="320" w:lineRule="exact"/>
        <w:ind w:left="105" w:leftChars="50" w:firstLine="420" w:firstLineChars="200"/>
        <w:contextualSpacing/>
        <w:outlineLvl w:val="1"/>
        <w:rPr>
          <w:rFonts w:ascii="宋体" w:hAnsi="宋体"/>
          <w:b/>
          <w:szCs w:val="21"/>
        </w:rPr>
      </w:pPr>
      <w:bookmarkStart w:id="175" w:name="_Toc308164828"/>
      <w:r>
        <w:rPr>
          <w:rFonts w:hint="eastAsia" w:ascii="宋体" w:hAnsi="宋体"/>
          <w:bCs/>
          <w:szCs w:val="21"/>
        </w:rPr>
        <w:t>日期:      年    月    日</w:t>
      </w:r>
      <w:bookmarkEnd w:id="175"/>
    </w:p>
    <w:p>
      <w:pPr>
        <w:spacing w:line="320" w:lineRule="exact"/>
        <w:ind w:left="105" w:leftChars="50" w:firstLine="562" w:firstLineChars="200"/>
        <w:contextualSpacing/>
        <w:jc w:val="center"/>
        <w:rPr>
          <w:rFonts w:ascii="宋体" w:hAnsi="宋体"/>
          <w:b/>
          <w:sz w:val="28"/>
          <w:szCs w:val="28"/>
        </w:rPr>
      </w:pPr>
    </w:p>
    <w:p>
      <w:pPr>
        <w:spacing w:line="320" w:lineRule="exact"/>
        <w:ind w:left="105" w:leftChars="50" w:firstLine="562" w:firstLineChars="200"/>
        <w:contextualSpacing/>
        <w:jc w:val="center"/>
        <w:rPr>
          <w:rFonts w:ascii="宋体" w:hAnsi="宋体"/>
          <w:b/>
          <w:sz w:val="28"/>
          <w:szCs w:val="28"/>
        </w:rPr>
      </w:pPr>
    </w:p>
    <w:bookmarkEnd w:id="173"/>
    <w:bookmarkEnd w:id="174"/>
    <w:p>
      <w:pPr>
        <w:spacing w:line="320" w:lineRule="exact"/>
        <w:ind w:left="105" w:leftChars="50"/>
        <w:contextualSpacing/>
        <w:jc w:val="center"/>
        <w:rPr>
          <w:rFonts w:ascii="宋体" w:hAnsi="宋体" w:eastAsia="黑体"/>
          <w:b/>
          <w:bCs/>
          <w:szCs w:val="21"/>
        </w:rPr>
        <w:sectPr>
          <w:footerReference r:id="rId3" w:type="default"/>
          <w:pgSz w:w="11906" w:h="16838"/>
          <w:pgMar w:top="1247" w:right="1106" w:bottom="1418" w:left="1259" w:header="851" w:footer="992" w:gutter="0"/>
          <w:cols w:space="720" w:num="1"/>
          <w:docGrid w:linePitch="312" w:charSpace="0"/>
        </w:sectPr>
      </w:pPr>
    </w:p>
    <w:p>
      <w:pPr>
        <w:spacing w:line="320" w:lineRule="exact"/>
        <w:ind w:left="105" w:leftChars="50"/>
        <w:contextualSpacing/>
        <w:jc w:val="center"/>
        <w:rPr>
          <w:rFonts w:ascii="宋体" w:hAnsi="宋体" w:eastAsia="黑体"/>
          <w:b/>
          <w:bCs/>
          <w:szCs w:val="21"/>
        </w:rPr>
      </w:pPr>
      <w:r>
        <w:rPr>
          <w:rFonts w:hint="eastAsia" w:ascii="宋体" w:hAnsi="宋体" w:eastAsia="黑体"/>
          <w:b/>
          <w:bCs/>
          <w:szCs w:val="21"/>
        </w:rPr>
        <w:t>六、退保申请</w:t>
      </w:r>
    </w:p>
    <w:p>
      <w:pPr>
        <w:spacing w:line="320" w:lineRule="exact"/>
        <w:ind w:left="105" w:leftChars="50"/>
        <w:contextualSpacing/>
        <w:jc w:val="center"/>
        <w:rPr>
          <w:rFonts w:ascii="宋体" w:hAnsi="宋体" w:eastAsia="黑体"/>
          <w:b/>
          <w:bCs/>
          <w:szCs w:val="21"/>
        </w:rPr>
      </w:pPr>
    </w:p>
    <w:tbl>
      <w:tblPr>
        <w:tblStyle w:val="63"/>
        <w:tblW w:w="12900" w:type="dxa"/>
        <w:tblInd w:w="67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642"/>
        <w:gridCol w:w="1625"/>
        <w:gridCol w:w="1252"/>
        <w:gridCol w:w="1802"/>
        <w:gridCol w:w="1265"/>
        <w:gridCol w:w="1440"/>
        <w:gridCol w:w="30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3" w:hRule="atLeast"/>
        </w:trPr>
        <w:tc>
          <w:tcPr>
            <w:tcW w:w="12900" w:type="dxa"/>
            <w:gridSpan w:val="8"/>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jc w:val="center"/>
              <w:rPr>
                <w:rFonts w:ascii="黑体" w:eastAsia="黑体"/>
                <w:szCs w:val="21"/>
              </w:rPr>
            </w:pPr>
            <w:r>
              <w:rPr>
                <w:rFonts w:hint="eastAsia" w:ascii="黑体" w:eastAsia="黑体"/>
                <w:szCs w:val="21"/>
              </w:rPr>
              <w:t>达州职业技术学院投标保证金退付申请表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4" w:hRule="atLeast"/>
        </w:trPr>
        <w:tc>
          <w:tcPr>
            <w:tcW w:w="12900" w:type="dxa"/>
            <w:gridSpan w:val="8"/>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rPr>
                <w:rFonts w:ascii="仿宋_GB2312" w:eastAsia="仿宋_GB2312"/>
                <w:szCs w:val="21"/>
              </w:rPr>
            </w:pPr>
            <w:r>
              <w:rPr>
                <w:rFonts w:hint="eastAsia" w:ascii="仿宋_GB2312" w:eastAsia="仿宋_GB2312"/>
                <w:szCs w:val="21"/>
              </w:rPr>
              <w:t>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3" w:hRule="atLeast"/>
        </w:trPr>
        <w:tc>
          <w:tcPr>
            <w:tcW w:w="12900" w:type="dxa"/>
            <w:gridSpan w:val="8"/>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rPr>
                <w:rFonts w:ascii="仿宋_GB2312" w:eastAsia="仿宋_GB2312"/>
                <w:szCs w:val="21"/>
              </w:rPr>
            </w:pPr>
            <w:r>
              <w:rPr>
                <w:rFonts w:hint="eastAsia" w:ascii="仿宋_GB2312" w:eastAsia="仿宋_GB2312"/>
                <w:szCs w:val="21"/>
              </w:rPr>
              <w:t>项目编号：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3" w:hRule="atLeast"/>
        </w:trPr>
        <w:tc>
          <w:tcPr>
            <w:tcW w:w="851" w:type="dxa"/>
            <w:vMerge w:val="restart"/>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jc w:val="center"/>
              <w:rPr>
                <w:rFonts w:ascii="仿宋_GB2312" w:eastAsia="仿宋_GB2312"/>
                <w:szCs w:val="21"/>
              </w:rPr>
            </w:pPr>
            <w:r>
              <w:rPr>
                <w:rFonts w:hint="eastAsia" w:ascii="仿宋_GB2312" w:eastAsia="仿宋_GB2312"/>
                <w:szCs w:val="21"/>
              </w:rPr>
              <w:t>保</w:t>
            </w:r>
          </w:p>
          <w:p>
            <w:pPr>
              <w:spacing w:line="320" w:lineRule="exact"/>
              <w:ind w:left="105" w:leftChars="50"/>
              <w:contextualSpacing/>
              <w:jc w:val="center"/>
              <w:rPr>
                <w:rFonts w:ascii="仿宋_GB2312" w:eastAsia="仿宋_GB2312"/>
                <w:szCs w:val="21"/>
              </w:rPr>
            </w:pPr>
            <w:r>
              <w:rPr>
                <w:rFonts w:hint="eastAsia" w:ascii="仿宋_GB2312" w:eastAsia="仿宋_GB2312"/>
                <w:szCs w:val="21"/>
              </w:rPr>
              <w:t>证</w:t>
            </w:r>
          </w:p>
          <w:p>
            <w:pPr>
              <w:spacing w:line="320" w:lineRule="exact"/>
              <w:ind w:left="105" w:leftChars="50"/>
              <w:contextualSpacing/>
              <w:jc w:val="center"/>
              <w:rPr>
                <w:rFonts w:ascii="仿宋_GB2312" w:eastAsia="仿宋_GB2312"/>
                <w:szCs w:val="21"/>
              </w:rPr>
            </w:pPr>
            <w:r>
              <w:rPr>
                <w:rFonts w:hint="eastAsia" w:ascii="仿宋_GB2312" w:eastAsia="仿宋_GB2312"/>
                <w:szCs w:val="21"/>
              </w:rPr>
              <w:t>金</w:t>
            </w:r>
          </w:p>
          <w:p>
            <w:pPr>
              <w:spacing w:line="320" w:lineRule="exact"/>
              <w:ind w:left="105" w:leftChars="50"/>
              <w:contextualSpacing/>
              <w:jc w:val="center"/>
              <w:rPr>
                <w:rFonts w:ascii="仿宋_GB2312" w:eastAsia="仿宋_GB2312"/>
                <w:szCs w:val="21"/>
              </w:rPr>
            </w:pPr>
            <w:r>
              <w:rPr>
                <w:rFonts w:hint="eastAsia" w:ascii="仿宋_GB2312" w:eastAsia="仿宋_GB2312"/>
                <w:szCs w:val="21"/>
              </w:rPr>
              <w:t>缴</w:t>
            </w:r>
          </w:p>
          <w:p>
            <w:pPr>
              <w:spacing w:line="320" w:lineRule="exact"/>
              <w:ind w:left="105" w:leftChars="50"/>
              <w:contextualSpacing/>
              <w:jc w:val="center"/>
              <w:rPr>
                <w:rFonts w:ascii="仿宋_GB2312" w:eastAsia="仿宋_GB2312"/>
                <w:szCs w:val="21"/>
              </w:rPr>
            </w:pPr>
            <w:r>
              <w:rPr>
                <w:rFonts w:hint="eastAsia" w:ascii="仿宋_GB2312" w:eastAsia="仿宋_GB2312"/>
                <w:szCs w:val="21"/>
              </w:rPr>
              <w:t>纳</w:t>
            </w:r>
          </w:p>
          <w:p>
            <w:pPr>
              <w:spacing w:line="320" w:lineRule="exact"/>
              <w:ind w:left="105" w:leftChars="50"/>
              <w:contextualSpacing/>
              <w:jc w:val="center"/>
              <w:rPr>
                <w:rFonts w:ascii="仿宋_GB2312" w:eastAsia="仿宋_GB2312"/>
                <w:szCs w:val="21"/>
              </w:rPr>
            </w:pPr>
            <w:r>
              <w:rPr>
                <w:rFonts w:hint="eastAsia" w:ascii="仿宋_GB2312" w:eastAsia="仿宋_GB2312"/>
                <w:szCs w:val="21"/>
              </w:rPr>
              <w:t>情</w:t>
            </w:r>
          </w:p>
          <w:p>
            <w:pPr>
              <w:spacing w:line="320" w:lineRule="exact"/>
              <w:ind w:left="105" w:leftChars="50"/>
              <w:contextualSpacing/>
              <w:jc w:val="center"/>
              <w:rPr>
                <w:rFonts w:ascii="仿宋_GB2312" w:eastAsia="仿宋_GB2312"/>
                <w:szCs w:val="21"/>
              </w:rPr>
            </w:pPr>
            <w:r>
              <w:rPr>
                <w:rFonts w:hint="eastAsia" w:ascii="仿宋_GB2312" w:eastAsia="仿宋_GB2312"/>
                <w:szCs w:val="21"/>
              </w:rPr>
              <w:t>况</w:t>
            </w:r>
          </w:p>
        </w:tc>
        <w:tc>
          <w:tcPr>
            <w:tcW w:w="1642" w:type="dxa"/>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jc w:val="center"/>
              <w:rPr>
                <w:rFonts w:ascii="仿宋_GB2312" w:eastAsia="仿宋_GB2312"/>
                <w:szCs w:val="21"/>
              </w:rPr>
            </w:pPr>
            <w:r>
              <w:rPr>
                <w:rFonts w:hint="eastAsia" w:ascii="仿宋_GB2312" w:eastAsia="仿宋_GB2312"/>
                <w:szCs w:val="21"/>
              </w:rPr>
              <w:t>公司名称（缴款人）</w:t>
            </w:r>
          </w:p>
        </w:tc>
        <w:tc>
          <w:tcPr>
            <w:tcW w:w="46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jc w:val="center"/>
              <w:rPr>
                <w:rFonts w:ascii="仿宋_GB2312" w:eastAsia="仿宋_GB2312"/>
                <w:szCs w:val="21"/>
              </w:rPr>
            </w:pPr>
          </w:p>
        </w:tc>
        <w:tc>
          <w:tcPr>
            <w:tcW w:w="1265" w:type="dxa"/>
            <w:vMerge w:val="restart"/>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jc w:val="center"/>
              <w:rPr>
                <w:rFonts w:ascii="仿宋_GB2312" w:eastAsia="仿宋_GB2312"/>
                <w:szCs w:val="21"/>
              </w:rPr>
            </w:pPr>
            <w:r>
              <w:rPr>
                <w:rFonts w:hint="eastAsia" w:ascii="仿宋_GB2312" w:eastAsia="仿宋_GB2312"/>
                <w:szCs w:val="21"/>
              </w:rPr>
              <w:t>保</w:t>
            </w:r>
          </w:p>
          <w:p>
            <w:pPr>
              <w:spacing w:line="320" w:lineRule="exact"/>
              <w:ind w:left="105" w:leftChars="50"/>
              <w:contextualSpacing/>
              <w:jc w:val="center"/>
              <w:rPr>
                <w:rFonts w:ascii="仿宋_GB2312" w:eastAsia="仿宋_GB2312"/>
                <w:szCs w:val="21"/>
              </w:rPr>
            </w:pPr>
            <w:r>
              <w:rPr>
                <w:rFonts w:hint="eastAsia" w:ascii="仿宋_GB2312" w:eastAsia="仿宋_GB2312"/>
                <w:szCs w:val="21"/>
              </w:rPr>
              <w:t>证</w:t>
            </w:r>
          </w:p>
          <w:p>
            <w:pPr>
              <w:spacing w:line="320" w:lineRule="exact"/>
              <w:ind w:left="105" w:leftChars="50"/>
              <w:contextualSpacing/>
              <w:jc w:val="center"/>
              <w:rPr>
                <w:rFonts w:ascii="仿宋_GB2312" w:eastAsia="仿宋_GB2312"/>
                <w:szCs w:val="21"/>
              </w:rPr>
            </w:pPr>
            <w:r>
              <w:rPr>
                <w:rFonts w:hint="eastAsia" w:ascii="仿宋_GB2312" w:eastAsia="仿宋_GB2312"/>
                <w:szCs w:val="21"/>
              </w:rPr>
              <w:t>金</w:t>
            </w:r>
          </w:p>
          <w:p>
            <w:pPr>
              <w:spacing w:line="320" w:lineRule="exact"/>
              <w:ind w:left="105" w:leftChars="50"/>
              <w:contextualSpacing/>
              <w:jc w:val="center"/>
              <w:rPr>
                <w:rFonts w:ascii="仿宋_GB2312" w:eastAsia="仿宋_GB2312"/>
                <w:szCs w:val="21"/>
              </w:rPr>
            </w:pPr>
            <w:r>
              <w:rPr>
                <w:rFonts w:hint="eastAsia" w:ascii="仿宋_GB2312" w:eastAsia="仿宋_GB2312"/>
                <w:szCs w:val="21"/>
              </w:rPr>
              <w:t>申</w:t>
            </w:r>
          </w:p>
          <w:p>
            <w:pPr>
              <w:spacing w:line="320" w:lineRule="exact"/>
              <w:ind w:left="105" w:leftChars="50"/>
              <w:contextualSpacing/>
              <w:jc w:val="center"/>
              <w:rPr>
                <w:rFonts w:ascii="仿宋_GB2312" w:eastAsia="仿宋_GB2312"/>
                <w:szCs w:val="21"/>
              </w:rPr>
            </w:pPr>
            <w:r>
              <w:rPr>
                <w:rFonts w:hint="eastAsia" w:ascii="仿宋_GB2312" w:eastAsia="仿宋_GB2312"/>
                <w:szCs w:val="21"/>
              </w:rPr>
              <w:t>请</w:t>
            </w:r>
          </w:p>
          <w:p>
            <w:pPr>
              <w:spacing w:line="320" w:lineRule="exact"/>
              <w:ind w:left="105" w:leftChars="50"/>
              <w:contextualSpacing/>
              <w:jc w:val="center"/>
              <w:rPr>
                <w:rFonts w:ascii="仿宋_GB2312" w:eastAsia="仿宋_GB2312"/>
                <w:szCs w:val="21"/>
              </w:rPr>
            </w:pPr>
            <w:r>
              <w:rPr>
                <w:rFonts w:hint="eastAsia" w:ascii="仿宋_GB2312" w:eastAsia="仿宋_GB2312"/>
                <w:szCs w:val="21"/>
              </w:rPr>
              <w:t>退</w:t>
            </w:r>
          </w:p>
          <w:p>
            <w:pPr>
              <w:spacing w:line="320" w:lineRule="exact"/>
              <w:ind w:left="105" w:leftChars="50"/>
              <w:contextualSpacing/>
              <w:jc w:val="center"/>
              <w:rPr>
                <w:rFonts w:ascii="仿宋_GB2312" w:eastAsia="仿宋_GB2312"/>
                <w:szCs w:val="21"/>
              </w:rPr>
            </w:pPr>
            <w:r>
              <w:rPr>
                <w:rFonts w:hint="eastAsia" w:ascii="仿宋_GB2312" w:eastAsia="仿宋_GB2312"/>
                <w:szCs w:val="21"/>
              </w:rPr>
              <w:t>还</w:t>
            </w:r>
          </w:p>
          <w:p>
            <w:pPr>
              <w:spacing w:line="320" w:lineRule="exact"/>
              <w:ind w:left="105" w:leftChars="50"/>
              <w:contextualSpacing/>
              <w:jc w:val="center"/>
              <w:rPr>
                <w:rFonts w:ascii="仿宋_GB2312" w:eastAsia="仿宋_GB2312"/>
                <w:szCs w:val="21"/>
              </w:rPr>
            </w:pPr>
            <w:r>
              <w:rPr>
                <w:rFonts w:hint="eastAsia" w:ascii="仿宋_GB2312" w:eastAsia="仿宋_GB2312"/>
                <w:szCs w:val="21"/>
              </w:rPr>
              <w:t>情</w:t>
            </w:r>
          </w:p>
          <w:p>
            <w:pPr>
              <w:spacing w:line="320" w:lineRule="exact"/>
              <w:ind w:left="105" w:leftChars="50"/>
              <w:contextualSpacing/>
              <w:jc w:val="center"/>
              <w:rPr>
                <w:rFonts w:ascii="仿宋_GB2312" w:eastAsia="仿宋_GB2312"/>
                <w:szCs w:val="21"/>
              </w:rPr>
            </w:pPr>
            <w:r>
              <w:rPr>
                <w:rFonts w:hint="eastAsia" w:ascii="仿宋_GB2312" w:eastAsia="仿宋_GB2312"/>
                <w:szCs w:val="21"/>
              </w:rPr>
              <w:t>况</w:t>
            </w:r>
          </w:p>
        </w:tc>
        <w:tc>
          <w:tcPr>
            <w:tcW w:w="1440" w:type="dxa"/>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jc w:val="center"/>
              <w:rPr>
                <w:rFonts w:ascii="仿宋_GB2312" w:eastAsia="仿宋_GB2312"/>
                <w:szCs w:val="21"/>
              </w:rPr>
            </w:pPr>
            <w:r>
              <w:rPr>
                <w:rFonts w:hint="eastAsia" w:ascii="仿宋_GB2312" w:eastAsia="仿宋_GB2312"/>
                <w:szCs w:val="21"/>
              </w:rPr>
              <w:t>开户名</w:t>
            </w:r>
          </w:p>
        </w:tc>
        <w:tc>
          <w:tcPr>
            <w:tcW w:w="3023" w:type="dxa"/>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jc w:val="center"/>
              <w:rPr>
                <w:rFonts w:ascii="仿宋_GB2312"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2" w:hRule="atLeast"/>
        </w:trPr>
        <w:tc>
          <w:tcPr>
            <w:tcW w:w="85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Cs w:val="21"/>
              </w:rPr>
            </w:pPr>
          </w:p>
        </w:tc>
        <w:tc>
          <w:tcPr>
            <w:tcW w:w="1642" w:type="dxa"/>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jc w:val="center"/>
              <w:rPr>
                <w:rFonts w:ascii="仿宋_GB2312" w:eastAsia="仿宋_GB2312"/>
                <w:szCs w:val="21"/>
              </w:rPr>
            </w:pPr>
            <w:r>
              <w:rPr>
                <w:rFonts w:hint="eastAsia" w:ascii="仿宋_GB2312" w:eastAsia="仿宋_GB2312"/>
                <w:szCs w:val="21"/>
              </w:rPr>
              <w:t>联系人</w:t>
            </w:r>
          </w:p>
        </w:tc>
        <w:tc>
          <w:tcPr>
            <w:tcW w:w="1625" w:type="dxa"/>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jc w:val="center"/>
              <w:rPr>
                <w:rFonts w:ascii="仿宋_GB2312" w:eastAsia="仿宋_GB2312"/>
                <w:szCs w:val="21"/>
              </w:rPr>
            </w:pPr>
          </w:p>
        </w:tc>
        <w:tc>
          <w:tcPr>
            <w:tcW w:w="1252" w:type="dxa"/>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jc w:val="center"/>
              <w:rPr>
                <w:rFonts w:ascii="仿宋_GB2312" w:eastAsia="仿宋_GB2312"/>
                <w:szCs w:val="21"/>
              </w:rPr>
            </w:pPr>
            <w:r>
              <w:rPr>
                <w:rFonts w:hint="eastAsia" w:ascii="仿宋_GB2312" w:eastAsia="仿宋_GB2312"/>
                <w:szCs w:val="21"/>
              </w:rPr>
              <w:t>联系电话</w:t>
            </w:r>
          </w:p>
        </w:tc>
        <w:tc>
          <w:tcPr>
            <w:tcW w:w="1802" w:type="dxa"/>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jc w:val="center"/>
              <w:rPr>
                <w:rFonts w:ascii="仿宋_GB2312" w:eastAsia="仿宋_GB2312"/>
                <w:szCs w:val="21"/>
              </w:rPr>
            </w:pPr>
          </w:p>
        </w:tc>
        <w:tc>
          <w:tcPr>
            <w:tcW w:w="126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Cs w:val="21"/>
              </w:rPr>
            </w:pPr>
          </w:p>
        </w:tc>
        <w:tc>
          <w:tcPr>
            <w:tcW w:w="1440" w:type="dxa"/>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jc w:val="center"/>
              <w:rPr>
                <w:rFonts w:ascii="仿宋_GB2312" w:eastAsia="仿宋_GB2312"/>
                <w:szCs w:val="21"/>
              </w:rPr>
            </w:pPr>
            <w:r>
              <w:rPr>
                <w:rFonts w:hint="eastAsia" w:ascii="仿宋_GB2312" w:eastAsia="仿宋_GB2312"/>
                <w:szCs w:val="21"/>
              </w:rPr>
              <w:t>开户银行</w:t>
            </w:r>
          </w:p>
        </w:tc>
        <w:tc>
          <w:tcPr>
            <w:tcW w:w="3023" w:type="dxa"/>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jc w:val="center"/>
              <w:rPr>
                <w:rFonts w:ascii="仿宋_GB2312"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776" w:hRule="atLeast"/>
        </w:trPr>
        <w:tc>
          <w:tcPr>
            <w:tcW w:w="85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Cs w:val="21"/>
              </w:rPr>
            </w:pPr>
          </w:p>
        </w:tc>
        <w:tc>
          <w:tcPr>
            <w:tcW w:w="1642" w:type="dxa"/>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jc w:val="center"/>
              <w:rPr>
                <w:rFonts w:ascii="仿宋_GB2312" w:eastAsia="仿宋_GB2312"/>
                <w:szCs w:val="21"/>
              </w:rPr>
            </w:pPr>
            <w:r>
              <w:rPr>
                <w:rFonts w:hint="eastAsia" w:ascii="仿宋_GB2312" w:eastAsia="仿宋_GB2312"/>
                <w:szCs w:val="21"/>
              </w:rPr>
              <w:t>缴款时间</w:t>
            </w:r>
          </w:p>
        </w:tc>
        <w:tc>
          <w:tcPr>
            <w:tcW w:w="46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jc w:val="center"/>
              <w:rPr>
                <w:rFonts w:ascii="仿宋_GB2312" w:eastAsia="仿宋_GB2312"/>
                <w:szCs w:val="21"/>
              </w:rPr>
            </w:pPr>
            <w:r>
              <w:rPr>
                <w:rFonts w:hint="eastAsia" w:ascii="仿宋_GB2312" w:eastAsia="仿宋_GB2312"/>
                <w:szCs w:val="21"/>
              </w:rPr>
              <w:t>年   月   日</w:t>
            </w:r>
          </w:p>
        </w:tc>
        <w:tc>
          <w:tcPr>
            <w:tcW w:w="126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Cs w:val="21"/>
              </w:rPr>
            </w:pPr>
          </w:p>
        </w:tc>
        <w:tc>
          <w:tcPr>
            <w:tcW w:w="1440" w:type="dxa"/>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jc w:val="center"/>
              <w:rPr>
                <w:rFonts w:ascii="仿宋_GB2312" w:eastAsia="仿宋_GB2312"/>
                <w:szCs w:val="21"/>
              </w:rPr>
            </w:pPr>
            <w:r>
              <w:rPr>
                <w:rFonts w:hint="eastAsia" w:ascii="仿宋_GB2312" w:eastAsia="仿宋_GB2312"/>
                <w:szCs w:val="21"/>
              </w:rPr>
              <w:t>帐号</w:t>
            </w:r>
          </w:p>
        </w:tc>
        <w:tc>
          <w:tcPr>
            <w:tcW w:w="3023" w:type="dxa"/>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jc w:val="center"/>
              <w:rPr>
                <w:rFonts w:ascii="仿宋_GB2312"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3" w:hRule="atLeast"/>
        </w:trPr>
        <w:tc>
          <w:tcPr>
            <w:tcW w:w="85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Cs w:val="21"/>
              </w:rPr>
            </w:pPr>
          </w:p>
        </w:tc>
        <w:tc>
          <w:tcPr>
            <w:tcW w:w="1642" w:type="dxa"/>
            <w:vMerge w:val="restart"/>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jc w:val="center"/>
              <w:rPr>
                <w:rFonts w:ascii="仿宋_GB2312" w:eastAsia="仿宋_GB2312"/>
                <w:szCs w:val="21"/>
              </w:rPr>
            </w:pPr>
            <w:r>
              <w:rPr>
                <w:rFonts w:hint="eastAsia" w:ascii="仿宋_GB2312" w:eastAsia="仿宋_GB2312"/>
                <w:szCs w:val="21"/>
              </w:rPr>
              <w:t>投标保证金金额（元）</w:t>
            </w:r>
          </w:p>
        </w:tc>
        <w:tc>
          <w:tcPr>
            <w:tcW w:w="4679" w:type="dxa"/>
            <w:gridSpan w:val="3"/>
            <w:vMerge w:val="restart"/>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jc w:val="center"/>
              <w:rPr>
                <w:rFonts w:ascii="仿宋_GB2312" w:eastAsia="仿宋_GB2312"/>
                <w:szCs w:val="21"/>
              </w:rPr>
            </w:pPr>
          </w:p>
        </w:tc>
        <w:tc>
          <w:tcPr>
            <w:tcW w:w="126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Cs w:val="21"/>
              </w:rPr>
            </w:pPr>
          </w:p>
        </w:tc>
        <w:tc>
          <w:tcPr>
            <w:tcW w:w="1440" w:type="dxa"/>
            <w:vMerge w:val="restart"/>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jc w:val="center"/>
              <w:rPr>
                <w:rFonts w:ascii="仿宋_GB2312" w:eastAsia="仿宋_GB2312"/>
                <w:szCs w:val="21"/>
              </w:rPr>
            </w:pPr>
            <w:r>
              <w:rPr>
                <w:rFonts w:hint="eastAsia" w:ascii="仿宋_GB2312" w:eastAsia="仿宋_GB2312"/>
                <w:szCs w:val="21"/>
              </w:rPr>
              <w:t>金额</w:t>
            </w:r>
          </w:p>
        </w:tc>
        <w:tc>
          <w:tcPr>
            <w:tcW w:w="3023" w:type="dxa"/>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rPr>
                <w:rFonts w:ascii="仿宋_GB2312" w:eastAsia="仿宋_GB2312"/>
                <w:szCs w:val="21"/>
              </w:rPr>
            </w:pPr>
            <w:r>
              <w:rPr>
                <w:rFonts w:hint="eastAsia" w:ascii="仿宋_GB2312" w:eastAsia="仿宋_GB2312"/>
                <w:szCs w:val="21"/>
              </w:rPr>
              <w:t>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7" w:hRule="atLeast"/>
        </w:trPr>
        <w:tc>
          <w:tcPr>
            <w:tcW w:w="85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Cs w:val="21"/>
              </w:rPr>
            </w:pPr>
          </w:p>
        </w:tc>
        <w:tc>
          <w:tcPr>
            <w:tcW w:w="164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Cs w:val="21"/>
              </w:rPr>
            </w:pPr>
          </w:p>
        </w:tc>
        <w:tc>
          <w:tcPr>
            <w:tcW w:w="4679"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Cs w:val="21"/>
              </w:rPr>
            </w:pPr>
          </w:p>
        </w:tc>
        <w:tc>
          <w:tcPr>
            <w:tcW w:w="126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Cs w:val="21"/>
              </w:rPr>
            </w:pPr>
          </w:p>
        </w:tc>
        <w:tc>
          <w:tcPr>
            <w:tcW w:w="14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eastAsia="仿宋_GB2312"/>
                <w:szCs w:val="21"/>
              </w:rPr>
            </w:pPr>
          </w:p>
        </w:tc>
        <w:tc>
          <w:tcPr>
            <w:tcW w:w="3023" w:type="dxa"/>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rPr>
                <w:rFonts w:ascii="仿宋_GB2312" w:eastAsia="仿宋_GB2312"/>
                <w:szCs w:val="21"/>
              </w:rPr>
            </w:pPr>
            <w:r>
              <w:rPr>
                <w:rFonts w:hint="eastAsia" w:ascii="仿宋_GB2312" w:eastAsia="仿宋_GB2312"/>
                <w:szCs w:val="21"/>
              </w:rPr>
              <w:t>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0" w:hRule="atLeast"/>
        </w:trPr>
        <w:tc>
          <w:tcPr>
            <w:tcW w:w="12900" w:type="dxa"/>
            <w:gridSpan w:val="8"/>
            <w:tcBorders>
              <w:top w:val="single" w:color="auto" w:sz="4" w:space="0"/>
              <w:left w:val="single" w:color="auto" w:sz="4" w:space="0"/>
              <w:bottom w:val="single" w:color="auto" w:sz="4" w:space="0"/>
              <w:right w:val="single" w:color="auto" w:sz="4" w:space="0"/>
            </w:tcBorders>
            <w:vAlign w:val="center"/>
          </w:tcPr>
          <w:p>
            <w:pPr>
              <w:spacing w:line="320" w:lineRule="exact"/>
              <w:ind w:left="105" w:leftChars="50"/>
              <w:contextualSpacing/>
              <w:rPr>
                <w:rFonts w:ascii="仿宋_GB2312" w:eastAsia="仿宋_GB2312"/>
                <w:szCs w:val="21"/>
              </w:rPr>
            </w:pPr>
            <w:r>
              <w:rPr>
                <w:rFonts w:hint="eastAsia" w:ascii="仿宋_GB2312" w:eastAsia="仿宋_GB2312"/>
                <w:szCs w:val="21"/>
              </w:rPr>
              <w:t>备注：1、申请人工整、详细、正确填写申请表，不得使用简写。</w:t>
            </w:r>
          </w:p>
          <w:p>
            <w:pPr>
              <w:spacing w:line="320" w:lineRule="exact"/>
              <w:ind w:left="105" w:leftChars="50" w:firstLine="630" w:firstLineChars="300"/>
              <w:contextualSpacing/>
              <w:rPr>
                <w:rFonts w:ascii="仿宋_GB2312" w:eastAsia="仿宋_GB2312"/>
                <w:szCs w:val="21"/>
              </w:rPr>
            </w:pPr>
            <w:r>
              <w:rPr>
                <w:rFonts w:hint="eastAsia" w:ascii="仿宋_GB2312" w:eastAsia="仿宋_GB2312"/>
                <w:szCs w:val="21"/>
              </w:rPr>
              <w:t>2、该申请表不作为投标文件的组成部分；投标人在合同履行结束时提交。</w:t>
            </w:r>
          </w:p>
          <w:p>
            <w:pPr>
              <w:spacing w:line="320" w:lineRule="exact"/>
              <w:ind w:left="105" w:leftChars="50" w:firstLine="630" w:firstLineChars="300"/>
              <w:contextualSpacing/>
              <w:rPr>
                <w:rFonts w:ascii="仿宋_GB2312" w:eastAsia="仿宋_GB2312"/>
                <w:szCs w:val="21"/>
              </w:rPr>
            </w:pPr>
            <w:r>
              <w:rPr>
                <w:rFonts w:hint="eastAsia" w:ascii="仿宋_GB2312" w:eastAsia="仿宋_GB2312"/>
                <w:szCs w:val="21"/>
              </w:rPr>
              <w:t>3、提交该申请表时，需同时附保证金缴纳凭证（复印件盖交款人鲜章）。</w:t>
            </w:r>
          </w:p>
        </w:tc>
      </w:tr>
    </w:tbl>
    <w:p>
      <w:pPr>
        <w:spacing w:line="320" w:lineRule="exact"/>
        <w:ind w:left="105" w:leftChars="50"/>
        <w:contextualSpacing/>
        <w:rPr>
          <w:rFonts w:ascii="仿宋_GB2312" w:eastAsia="仿宋_GB2312"/>
          <w:szCs w:val="21"/>
        </w:rPr>
      </w:pPr>
    </w:p>
    <w:p>
      <w:pPr>
        <w:spacing w:line="320" w:lineRule="exact"/>
        <w:ind w:left="105" w:leftChars="50" w:firstLine="420" w:firstLineChars="200"/>
        <w:contextualSpacing/>
        <w:rPr>
          <w:rFonts w:ascii="仿宋_GB2312" w:eastAsia="仿宋_GB2312"/>
          <w:szCs w:val="21"/>
        </w:rPr>
      </w:pPr>
      <w:r>
        <w:rPr>
          <w:rFonts w:hint="eastAsia" w:ascii="仿宋_GB2312" w:eastAsia="仿宋_GB2312"/>
          <w:szCs w:val="21"/>
        </w:rPr>
        <w:t>申请人签字：                              申请时间：</w:t>
      </w:r>
    </w:p>
    <w:p>
      <w:pPr>
        <w:spacing w:line="320" w:lineRule="exact"/>
        <w:ind w:left="105" w:leftChars="50" w:firstLine="420" w:firstLineChars="200"/>
        <w:contextualSpacing/>
        <w:rPr>
          <w:rFonts w:ascii="黑体" w:hAnsi="宋体" w:eastAsia="黑体"/>
          <w:b/>
          <w:szCs w:val="21"/>
        </w:rPr>
      </w:pPr>
      <w:r>
        <w:rPr>
          <w:rFonts w:hint="eastAsia" w:ascii="仿宋_GB2312" w:eastAsia="仿宋_GB2312"/>
          <w:szCs w:val="21"/>
        </w:rPr>
        <w:t>项目申报部门意见：                        国资管理部门意见：                    财务部门意见：</w:t>
      </w:r>
    </w:p>
    <w:p>
      <w:pPr>
        <w:widowControl/>
        <w:jc w:val="left"/>
        <w:rPr>
          <w:rFonts w:ascii="黑体" w:hAnsi="黑体" w:eastAsia="黑体"/>
          <w:b/>
          <w:sz w:val="36"/>
          <w:szCs w:val="36"/>
        </w:rPr>
      </w:pPr>
    </w:p>
    <w:p>
      <w:pPr>
        <w:widowControl/>
        <w:jc w:val="left"/>
        <w:rPr>
          <w:rFonts w:ascii="黑体" w:hAnsi="黑体" w:eastAsia="黑体"/>
          <w:b/>
          <w:sz w:val="36"/>
          <w:szCs w:val="36"/>
        </w:rPr>
      </w:pPr>
      <w:r>
        <w:rPr>
          <w:rFonts w:ascii="黑体" w:hAnsi="黑体" w:eastAsia="黑体"/>
          <w:b/>
          <w:sz w:val="36"/>
          <w:szCs w:val="36"/>
        </w:rPr>
        <w:br w:type="page"/>
      </w:r>
    </w:p>
    <w:p>
      <w:pPr>
        <w:spacing w:line="400" w:lineRule="exact"/>
        <w:contextualSpacing/>
        <w:jc w:val="center"/>
        <w:rPr>
          <w:rFonts w:ascii="黑体" w:hAnsi="黑体" w:eastAsia="黑体"/>
          <w:b/>
          <w:sz w:val="36"/>
          <w:szCs w:val="36"/>
        </w:rPr>
        <w:sectPr>
          <w:pgSz w:w="16838" w:h="11906" w:orient="landscape"/>
          <w:pgMar w:top="1259" w:right="1247" w:bottom="1106" w:left="1418" w:header="851" w:footer="992" w:gutter="0"/>
          <w:cols w:space="720" w:num="1"/>
          <w:docGrid w:linePitch="312" w:charSpace="0"/>
        </w:sectPr>
      </w:pPr>
    </w:p>
    <w:p>
      <w:pPr>
        <w:spacing w:line="400" w:lineRule="exact"/>
        <w:contextualSpacing/>
        <w:jc w:val="center"/>
        <w:rPr>
          <w:rFonts w:ascii="黑体" w:hAnsi="黑体" w:eastAsia="黑体"/>
          <w:b/>
          <w:sz w:val="36"/>
          <w:szCs w:val="36"/>
        </w:rPr>
      </w:pPr>
      <w:r>
        <w:rPr>
          <w:rFonts w:hint="eastAsia" w:ascii="黑体" w:hAnsi="黑体" w:eastAsia="黑体"/>
          <w:b/>
          <w:sz w:val="36"/>
          <w:szCs w:val="36"/>
        </w:rPr>
        <w:t>第四章  投标人和投标产品的资格、资质性</w:t>
      </w:r>
      <w:bookmarkEnd w:id="167"/>
      <w:bookmarkEnd w:id="168"/>
    </w:p>
    <w:p>
      <w:pPr>
        <w:spacing w:line="400" w:lineRule="exact"/>
        <w:ind w:left="105" w:leftChars="50" w:firstLine="723" w:firstLineChars="200"/>
        <w:contextualSpacing/>
        <w:jc w:val="center"/>
        <w:rPr>
          <w:rFonts w:ascii="黑体" w:hAnsi="黑体" w:eastAsia="黑体"/>
          <w:b/>
          <w:sz w:val="36"/>
          <w:szCs w:val="36"/>
        </w:rPr>
      </w:pPr>
      <w:bookmarkStart w:id="176" w:name="_Toc308164963"/>
      <w:bookmarkStart w:id="177" w:name="_Toc308164833"/>
      <w:r>
        <w:rPr>
          <w:rFonts w:hint="eastAsia" w:ascii="黑体" w:hAnsi="黑体" w:eastAsia="黑体"/>
          <w:b/>
          <w:sz w:val="36"/>
          <w:szCs w:val="36"/>
        </w:rPr>
        <w:t>及其他类似效力要求</w:t>
      </w:r>
      <w:bookmarkEnd w:id="176"/>
      <w:bookmarkEnd w:id="177"/>
    </w:p>
    <w:p>
      <w:pPr>
        <w:spacing w:line="400" w:lineRule="exact"/>
        <w:ind w:left="105" w:leftChars="50" w:firstLine="562" w:firstLineChars="200"/>
        <w:contextualSpacing/>
        <w:jc w:val="center"/>
        <w:rPr>
          <w:rFonts w:ascii="宋体" w:hAnsi="宋体"/>
          <w:b/>
          <w:sz w:val="28"/>
          <w:szCs w:val="28"/>
        </w:rPr>
      </w:pPr>
      <w:bookmarkStart w:id="178" w:name="_Toc308164834"/>
    </w:p>
    <w:p>
      <w:pPr>
        <w:spacing w:line="400" w:lineRule="exact"/>
        <w:ind w:left="105" w:leftChars="50" w:firstLine="562" w:firstLineChars="200"/>
        <w:contextualSpacing/>
        <w:jc w:val="center"/>
        <w:rPr>
          <w:rFonts w:ascii="宋体" w:hAnsi="宋体"/>
          <w:b/>
          <w:sz w:val="28"/>
          <w:szCs w:val="28"/>
        </w:rPr>
      </w:pPr>
      <w:r>
        <w:rPr>
          <w:rFonts w:hint="eastAsia" w:ascii="宋体" w:hAnsi="宋体"/>
          <w:b/>
          <w:sz w:val="28"/>
          <w:szCs w:val="28"/>
        </w:rPr>
        <w:t>一、投标人资格、资质性及其他类似效力要求</w:t>
      </w:r>
      <w:bookmarkEnd w:id="178"/>
    </w:p>
    <w:p>
      <w:pPr>
        <w:spacing w:line="400" w:lineRule="exact"/>
        <w:ind w:left="105" w:leftChars="50" w:firstLine="210" w:firstLineChars="100"/>
        <w:contextualSpacing/>
        <w:rPr>
          <w:rFonts w:ascii="宋体" w:hAnsi="宋体"/>
          <w:szCs w:val="21"/>
        </w:rPr>
      </w:pPr>
      <w:bookmarkStart w:id="179" w:name="_Toc308164835"/>
      <w:r>
        <w:rPr>
          <w:rFonts w:hint="eastAsia" w:ascii="宋体" w:hAnsi="宋体"/>
          <w:szCs w:val="21"/>
        </w:rPr>
        <w:t>1.具有独立承担民事责任的能力；</w:t>
      </w:r>
    </w:p>
    <w:p>
      <w:pPr>
        <w:spacing w:line="400" w:lineRule="exact"/>
        <w:ind w:left="105" w:leftChars="50" w:firstLine="225"/>
        <w:contextualSpacing/>
        <w:rPr>
          <w:rFonts w:ascii="宋体" w:hAnsi="宋体"/>
          <w:szCs w:val="21"/>
        </w:rPr>
      </w:pPr>
      <w:r>
        <w:rPr>
          <w:rFonts w:hint="eastAsia" w:ascii="宋体" w:hAnsi="宋体"/>
          <w:szCs w:val="21"/>
        </w:rPr>
        <w:t>2.具有良好的商业信誉；</w:t>
      </w:r>
    </w:p>
    <w:p>
      <w:pPr>
        <w:spacing w:line="400" w:lineRule="exact"/>
        <w:ind w:left="105" w:leftChars="50" w:firstLine="225"/>
        <w:contextualSpacing/>
        <w:rPr>
          <w:rFonts w:ascii="宋体" w:hAnsi="宋体"/>
          <w:szCs w:val="21"/>
        </w:rPr>
      </w:pPr>
      <w:r>
        <w:rPr>
          <w:rFonts w:hint="eastAsia" w:ascii="宋体" w:hAnsi="宋体"/>
          <w:szCs w:val="21"/>
        </w:rPr>
        <w:t>3.具有履行合同所必需的设备和专业技术能力；</w:t>
      </w:r>
    </w:p>
    <w:p>
      <w:pPr>
        <w:spacing w:line="400" w:lineRule="exact"/>
        <w:ind w:left="105" w:leftChars="50" w:firstLine="225"/>
        <w:contextualSpacing/>
        <w:rPr>
          <w:rFonts w:ascii="宋体" w:hAnsi="宋体"/>
          <w:szCs w:val="21"/>
        </w:rPr>
      </w:pPr>
      <w:r>
        <w:rPr>
          <w:rFonts w:hint="eastAsia" w:ascii="宋体" w:hAnsi="宋体"/>
          <w:szCs w:val="21"/>
        </w:rPr>
        <w:t>4.参加采购活动的近三年内，在经营活动中没有重大违法记录；</w:t>
      </w:r>
    </w:p>
    <w:p>
      <w:pPr>
        <w:spacing w:line="400" w:lineRule="exact"/>
        <w:ind w:left="105" w:leftChars="50" w:firstLine="210" w:firstLineChars="100"/>
        <w:contextualSpacing/>
        <w:rPr>
          <w:rFonts w:ascii="宋体" w:hAnsi="宋体"/>
          <w:szCs w:val="21"/>
        </w:rPr>
      </w:pPr>
      <w:r>
        <w:rPr>
          <w:rFonts w:hint="eastAsia" w:ascii="宋体" w:hAnsi="宋体"/>
          <w:szCs w:val="21"/>
        </w:rPr>
        <w:t>5.供应商必须满足以上资质要求、采购需求、质量和服务相等的最低要求才能参加报价。</w:t>
      </w:r>
    </w:p>
    <w:p>
      <w:pPr>
        <w:spacing w:line="400" w:lineRule="exact"/>
        <w:ind w:left="105" w:leftChars="50" w:firstLine="562" w:firstLineChars="200"/>
        <w:contextualSpacing/>
        <w:jc w:val="center"/>
        <w:rPr>
          <w:rFonts w:ascii="宋体" w:hAnsi="宋体"/>
          <w:b/>
          <w:sz w:val="28"/>
          <w:szCs w:val="28"/>
        </w:rPr>
      </w:pPr>
    </w:p>
    <w:p>
      <w:pPr>
        <w:spacing w:line="400" w:lineRule="exact"/>
        <w:ind w:left="105" w:leftChars="50" w:firstLine="562" w:firstLineChars="200"/>
        <w:contextualSpacing/>
        <w:jc w:val="center"/>
        <w:rPr>
          <w:rFonts w:ascii="宋体" w:hAnsi="宋体"/>
          <w:b/>
          <w:sz w:val="28"/>
          <w:szCs w:val="28"/>
        </w:rPr>
      </w:pPr>
      <w:r>
        <w:rPr>
          <w:rFonts w:hint="eastAsia" w:ascii="宋体" w:hAnsi="宋体"/>
          <w:b/>
          <w:sz w:val="28"/>
          <w:szCs w:val="28"/>
        </w:rPr>
        <w:t>二、投标产品的资格、资质性及其他类似效力要求</w:t>
      </w:r>
      <w:bookmarkEnd w:id="179"/>
    </w:p>
    <w:p>
      <w:pPr>
        <w:pStyle w:val="144"/>
        <w:spacing w:line="400" w:lineRule="exact"/>
        <w:ind w:left="105" w:leftChars="50" w:firstLine="473" w:firstLineChars="225"/>
        <w:contextualSpacing/>
        <w:rPr>
          <w:rFonts w:ascii="宋体" w:hAnsi="宋体"/>
          <w:szCs w:val="21"/>
        </w:rPr>
      </w:pPr>
      <w:r>
        <w:rPr>
          <w:rFonts w:hint="eastAsia" w:ascii="宋体" w:hAnsi="宋体"/>
          <w:szCs w:val="21"/>
        </w:rPr>
        <w:t>依照法律、行政法规、地方性法规、行政许可的强制性规定，生产、销售产品和产品本身需要取得许可证照或者需要经过认证的。</w:t>
      </w:r>
      <w:bookmarkStart w:id="180" w:name="_Toc308164836"/>
      <w:bookmarkStart w:id="181" w:name="_Toc308164964"/>
      <w:bookmarkStart w:id="182" w:name="_Toc217446093"/>
      <w:bookmarkStart w:id="183" w:name="_Toc283712540"/>
    </w:p>
    <w:p>
      <w:pPr>
        <w:spacing w:line="400" w:lineRule="exact"/>
        <w:ind w:left="105" w:leftChars="50" w:firstLine="723" w:firstLineChars="200"/>
        <w:contextualSpacing/>
        <w:jc w:val="center"/>
        <w:rPr>
          <w:rFonts w:ascii="黑体" w:hAnsi="黑体" w:eastAsia="黑体"/>
          <w:b/>
          <w:sz w:val="36"/>
          <w:szCs w:val="36"/>
        </w:rPr>
      </w:pPr>
    </w:p>
    <w:p>
      <w:pPr>
        <w:spacing w:line="400" w:lineRule="exact"/>
        <w:ind w:left="105" w:leftChars="50" w:firstLine="723" w:firstLineChars="200"/>
        <w:contextualSpacing/>
        <w:jc w:val="center"/>
        <w:rPr>
          <w:rFonts w:ascii="黑体" w:hAnsi="黑体" w:eastAsia="黑体"/>
          <w:b/>
          <w:sz w:val="36"/>
          <w:szCs w:val="36"/>
        </w:rPr>
      </w:pPr>
    </w:p>
    <w:p>
      <w:pPr>
        <w:spacing w:line="400" w:lineRule="exact"/>
        <w:ind w:left="105" w:leftChars="50" w:firstLine="723" w:firstLineChars="200"/>
        <w:contextualSpacing/>
        <w:jc w:val="center"/>
        <w:rPr>
          <w:rFonts w:ascii="黑体" w:hAnsi="黑体" w:eastAsia="黑体"/>
          <w:b/>
          <w:bCs/>
          <w:sz w:val="36"/>
          <w:szCs w:val="36"/>
        </w:rPr>
      </w:pPr>
      <w:r>
        <w:rPr>
          <w:rFonts w:hint="eastAsia" w:ascii="黑体" w:hAnsi="黑体" w:eastAsia="黑体"/>
          <w:b/>
          <w:sz w:val="36"/>
          <w:szCs w:val="36"/>
        </w:rPr>
        <w:t>第五章 投标人应当提供的资格、资质性及其他类似效力</w:t>
      </w:r>
      <w:bookmarkStart w:id="184" w:name="_Toc308164837"/>
      <w:bookmarkStart w:id="185" w:name="_Toc308164965"/>
      <w:bookmarkEnd w:id="180"/>
      <w:bookmarkEnd w:id="181"/>
      <w:r>
        <w:rPr>
          <w:rFonts w:hint="eastAsia" w:ascii="黑体" w:hAnsi="黑体" w:eastAsia="黑体"/>
          <w:b/>
          <w:sz w:val="36"/>
          <w:szCs w:val="36"/>
        </w:rPr>
        <w:t>要求的相关</w:t>
      </w:r>
      <w:r>
        <w:rPr>
          <w:rFonts w:hint="eastAsia" w:ascii="黑体" w:hAnsi="黑体" w:eastAsia="黑体"/>
          <w:b/>
          <w:bCs/>
          <w:sz w:val="36"/>
          <w:szCs w:val="36"/>
        </w:rPr>
        <w:t>证明材料</w:t>
      </w:r>
      <w:bookmarkEnd w:id="182"/>
      <w:bookmarkEnd w:id="183"/>
      <w:bookmarkEnd w:id="184"/>
      <w:bookmarkEnd w:id="185"/>
    </w:p>
    <w:p>
      <w:pPr>
        <w:spacing w:line="400" w:lineRule="exact"/>
        <w:ind w:left="105" w:leftChars="50" w:firstLine="723" w:firstLineChars="200"/>
        <w:contextualSpacing/>
        <w:jc w:val="center"/>
        <w:rPr>
          <w:rFonts w:ascii="黑体" w:hAnsi="黑体" w:eastAsia="黑体"/>
          <w:b/>
          <w:bCs/>
          <w:sz w:val="36"/>
          <w:szCs w:val="36"/>
        </w:rPr>
      </w:pPr>
    </w:p>
    <w:p>
      <w:pPr>
        <w:spacing w:line="400" w:lineRule="exact"/>
        <w:ind w:left="105" w:leftChars="50" w:firstLine="422" w:firstLineChars="200"/>
        <w:contextualSpacing/>
        <w:rPr>
          <w:rFonts w:ascii="宋体" w:hAnsi="宋体"/>
          <w:b/>
          <w:szCs w:val="21"/>
        </w:rPr>
      </w:pPr>
      <w:bookmarkStart w:id="186" w:name="_Toc308164838"/>
      <w:r>
        <w:rPr>
          <w:rFonts w:hint="eastAsia" w:ascii="宋体" w:hAnsi="宋体"/>
          <w:b/>
          <w:szCs w:val="21"/>
        </w:rPr>
        <w:t>一、应当提供的投标人资格、资质性及其他类似效力要求的相关证明材料</w:t>
      </w:r>
      <w:bookmarkEnd w:id="186"/>
    </w:p>
    <w:p>
      <w:pPr>
        <w:pStyle w:val="144"/>
        <w:spacing w:line="400" w:lineRule="exact"/>
        <w:ind w:left="105" w:leftChars="50" w:firstLine="525" w:firstLineChars="250"/>
        <w:contextualSpacing/>
        <w:rPr>
          <w:rFonts w:ascii="宋体" w:hAnsi="宋体"/>
          <w:szCs w:val="21"/>
        </w:rPr>
      </w:pPr>
      <w:bookmarkStart w:id="187" w:name="_Toc308164839"/>
      <w:r>
        <w:rPr>
          <w:rFonts w:hint="eastAsia" w:ascii="宋体" w:hAnsi="宋体"/>
          <w:szCs w:val="21"/>
        </w:rPr>
        <w:t>1、营业执照副本复印件及税务登记证复印件。</w:t>
      </w:r>
    </w:p>
    <w:p>
      <w:pPr>
        <w:pStyle w:val="144"/>
        <w:spacing w:line="400" w:lineRule="exact"/>
        <w:ind w:left="105" w:leftChars="50" w:firstLine="525" w:firstLineChars="250"/>
        <w:contextualSpacing/>
        <w:rPr>
          <w:rFonts w:ascii="宋体" w:hAnsi="宋体"/>
          <w:szCs w:val="21"/>
        </w:rPr>
      </w:pPr>
      <w:r>
        <w:rPr>
          <w:rFonts w:hint="eastAsia" w:ascii="宋体" w:hAnsi="宋体"/>
          <w:szCs w:val="21"/>
        </w:rPr>
        <w:t>2、法定代表人授权书原件（非法定代表人投标时提供）。</w:t>
      </w:r>
    </w:p>
    <w:p>
      <w:pPr>
        <w:pStyle w:val="144"/>
        <w:spacing w:line="400" w:lineRule="exact"/>
        <w:ind w:left="105" w:leftChars="50" w:firstLine="525" w:firstLineChars="250"/>
        <w:contextualSpacing/>
        <w:rPr>
          <w:rFonts w:ascii="宋体" w:hAnsi="宋体"/>
          <w:szCs w:val="21"/>
        </w:rPr>
      </w:pPr>
      <w:r>
        <w:rPr>
          <w:rFonts w:hint="eastAsia" w:ascii="宋体" w:hAnsi="宋体"/>
          <w:szCs w:val="21"/>
        </w:rPr>
        <w:t>3、授权代表的身份证复印件。</w:t>
      </w:r>
    </w:p>
    <w:p>
      <w:pPr>
        <w:pStyle w:val="144"/>
        <w:spacing w:line="400" w:lineRule="exact"/>
        <w:ind w:left="105" w:leftChars="50" w:firstLine="525" w:firstLineChars="250"/>
        <w:contextualSpacing/>
        <w:rPr>
          <w:rFonts w:ascii="宋体" w:hAnsi="宋体"/>
          <w:szCs w:val="21"/>
        </w:rPr>
      </w:pPr>
      <w:r>
        <w:rPr>
          <w:rFonts w:hint="eastAsia" w:ascii="宋体" w:hAnsi="宋体"/>
          <w:szCs w:val="21"/>
        </w:rPr>
        <w:t>4、投标保证金交纳凭证复印件（本投标项目可开标现场提供）。</w:t>
      </w:r>
    </w:p>
    <w:p>
      <w:pPr>
        <w:spacing w:line="400" w:lineRule="exact"/>
        <w:ind w:left="105" w:leftChars="50" w:firstLine="413" w:firstLineChars="196"/>
        <w:contextualSpacing/>
        <w:rPr>
          <w:rFonts w:ascii="宋体" w:hAnsi="宋体"/>
          <w:b/>
          <w:szCs w:val="21"/>
        </w:rPr>
      </w:pPr>
      <w:r>
        <w:rPr>
          <w:rFonts w:hint="eastAsia" w:ascii="宋体" w:hAnsi="宋体"/>
          <w:b/>
          <w:szCs w:val="21"/>
        </w:rPr>
        <w:t>二、应当提供的投标产品的资格、资质性及其他类似效力要求的相关证明材料</w:t>
      </w:r>
      <w:bookmarkEnd w:id="187"/>
      <w:r>
        <w:rPr>
          <w:rFonts w:hint="eastAsia" w:ascii="宋体" w:hAnsi="宋体"/>
          <w:b/>
          <w:szCs w:val="21"/>
        </w:rPr>
        <w:t>（根据招标项目技术、商务及其他要求）</w:t>
      </w:r>
    </w:p>
    <w:p>
      <w:pPr>
        <w:pStyle w:val="144"/>
        <w:spacing w:line="400" w:lineRule="exact"/>
        <w:ind w:left="105" w:leftChars="50" w:firstLine="420"/>
        <w:contextualSpacing/>
        <w:rPr>
          <w:rFonts w:ascii="宋体" w:hAnsi="宋体"/>
          <w:szCs w:val="21"/>
        </w:rPr>
      </w:pPr>
      <w:r>
        <w:rPr>
          <w:rFonts w:hint="eastAsia" w:ascii="宋体" w:hAnsi="宋体"/>
          <w:szCs w:val="21"/>
        </w:rPr>
        <w:t>依照法律、行政法规、地方性法规、行政许可的强制性规定，生产、销售产品和产品本身需要取得许可证照或者需要经过认证的，提供相关许可和认证证书复印件。</w:t>
      </w:r>
    </w:p>
    <w:p>
      <w:pPr>
        <w:spacing w:line="400" w:lineRule="exact"/>
        <w:ind w:left="105" w:leftChars="50" w:firstLine="422" w:firstLineChars="200"/>
        <w:contextualSpacing/>
        <w:rPr>
          <w:rFonts w:ascii="宋体" w:hAnsi="宋体"/>
          <w:b/>
          <w:szCs w:val="21"/>
        </w:rPr>
      </w:pPr>
      <w:r>
        <w:rPr>
          <w:rFonts w:hint="eastAsia" w:ascii="宋体" w:hAnsi="宋体"/>
          <w:b/>
          <w:szCs w:val="21"/>
        </w:rPr>
        <w:t>注： 1、以上要求投标人提供的证明材料复印件必须经法人签字并加盖投标人印章（鲜章）。</w:t>
      </w:r>
    </w:p>
    <w:p>
      <w:pPr>
        <w:spacing w:line="400" w:lineRule="exact"/>
        <w:ind w:left="105" w:leftChars="50" w:firstLine="936" w:firstLineChars="444"/>
        <w:contextualSpacing/>
        <w:rPr>
          <w:rFonts w:ascii="宋体" w:hAnsi="宋体"/>
          <w:b/>
          <w:szCs w:val="21"/>
        </w:rPr>
      </w:pPr>
      <w:r>
        <w:rPr>
          <w:rFonts w:hint="eastAsia" w:ascii="宋体" w:hAnsi="宋体"/>
          <w:b/>
          <w:szCs w:val="21"/>
        </w:rPr>
        <w:t>2、以上证明材料一项不符合要求的，作为无效投标处理。</w:t>
      </w:r>
    </w:p>
    <w:p>
      <w:pPr>
        <w:spacing w:line="400" w:lineRule="exact"/>
        <w:ind w:left="105" w:leftChars="50" w:firstLine="523" w:firstLineChars="248"/>
        <w:contextualSpacing/>
        <w:rPr>
          <w:rFonts w:ascii="宋体" w:hAnsi="宋体"/>
          <w:b/>
          <w:szCs w:val="21"/>
        </w:rPr>
      </w:pPr>
    </w:p>
    <w:p>
      <w:pPr>
        <w:spacing w:line="400" w:lineRule="exact"/>
        <w:ind w:left="105" w:leftChars="50" w:firstLine="523" w:firstLineChars="248"/>
        <w:contextualSpacing/>
        <w:rPr>
          <w:rFonts w:ascii="宋体" w:hAnsi="宋体"/>
          <w:b/>
          <w:szCs w:val="21"/>
        </w:rPr>
      </w:pPr>
    </w:p>
    <w:p>
      <w:pPr>
        <w:spacing w:line="400" w:lineRule="exact"/>
        <w:ind w:left="105" w:leftChars="50" w:firstLine="523" w:firstLineChars="248"/>
        <w:contextualSpacing/>
        <w:rPr>
          <w:rFonts w:ascii="宋体" w:hAnsi="宋体"/>
          <w:b/>
          <w:szCs w:val="21"/>
        </w:rPr>
      </w:pPr>
    </w:p>
    <w:p>
      <w:pPr>
        <w:spacing w:line="400" w:lineRule="exact"/>
        <w:ind w:left="105" w:leftChars="50" w:firstLine="523" w:firstLineChars="248"/>
        <w:contextualSpacing/>
        <w:rPr>
          <w:rFonts w:ascii="宋体" w:hAnsi="宋体"/>
          <w:b/>
          <w:szCs w:val="21"/>
        </w:rPr>
      </w:pPr>
    </w:p>
    <w:p>
      <w:pPr>
        <w:spacing w:line="400" w:lineRule="exact"/>
        <w:ind w:left="105" w:leftChars="50" w:firstLine="523" w:firstLineChars="248"/>
        <w:contextualSpacing/>
        <w:rPr>
          <w:rFonts w:ascii="宋体" w:hAnsi="宋体"/>
          <w:b/>
          <w:szCs w:val="21"/>
        </w:rPr>
      </w:pPr>
    </w:p>
    <w:p>
      <w:pPr>
        <w:spacing w:line="400" w:lineRule="exact"/>
        <w:ind w:left="105" w:leftChars="50" w:firstLine="523" w:firstLineChars="248"/>
        <w:contextualSpacing/>
        <w:rPr>
          <w:rFonts w:ascii="宋体" w:hAnsi="宋体"/>
          <w:b/>
          <w:szCs w:val="21"/>
        </w:rPr>
      </w:pPr>
    </w:p>
    <w:p>
      <w:pPr>
        <w:spacing w:line="400" w:lineRule="exact"/>
        <w:ind w:left="105" w:leftChars="50" w:firstLine="896" w:firstLineChars="248"/>
        <w:contextualSpacing/>
        <w:rPr>
          <w:rFonts w:ascii="黑体" w:hAnsi="黑体" w:eastAsia="黑体"/>
          <w:b/>
          <w:sz w:val="36"/>
          <w:szCs w:val="36"/>
        </w:rPr>
      </w:pPr>
      <w:r>
        <w:rPr>
          <w:rFonts w:hint="eastAsia" w:ascii="黑体" w:hAnsi="黑体" w:eastAsia="黑体"/>
          <w:b/>
          <w:bCs/>
          <w:sz w:val="36"/>
          <w:szCs w:val="36"/>
        </w:rPr>
        <w:t>第六章  招标项目技术、商务及其他要求</w:t>
      </w:r>
    </w:p>
    <w:p>
      <w:pPr>
        <w:spacing w:line="240" w:lineRule="exact"/>
        <w:contextualSpacing/>
        <w:rPr>
          <w:rFonts w:ascii="宋体" w:hAnsi="宋体"/>
          <w:b/>
          <w:szCs w:val="21"/>
        </w:rPr>
      </w:pPr>
    </w:p>
    <w:tbl>
      <w:tblPr>
        <w:tblStyle w:val="63"/>
        <w:tblW w:w="96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6"/>
        <w:gridCol w:w="3370"/>
        <w:gridCol w:w="1966"/>
        <w:gridCol w:w="638"/>
        <w:gridCol w:w="705"/>
        <w:gridCol w:w="113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rPr>
                <w:rFonts w:cs="宋体" w:asciiTheme="minorEastAsia" w:hAnsiTheme="minorEastAsia" w:eastAsiaTheme="minorEastAsia"/>
                <w:b/>
                <w:kern w:val="0"/>
                <w:sz w:val="20"/>
              </w:rPr>
            </w:pPr>
            <w:r>
              <w:rPr>
                <w:rFonts w:hint="eastAsia" w:cs="宋体" w:asciiTheme="minorEastAsia" w:hAnsiTheme="minorEastAsia" w:eastAsiaTheme="minorEastAsia"/>
                <w:b/>
                <w:kern w:val="0"/>
                <w:sz w:val="20"/>
              </w:rPr>
              <w:t>序号</w:t>
            </w:r>
          </w:p>
        </w:tc>
        <w:tc>
          <w:tcPr>
            <w:tcW w:w="3370" w:type="dxa"/>
            <w:shd w:val="clear" w:color="auto" w:fill="auto"/>
            <w:vAlign w:val="center"/>
          </w:tcPr>
          <w:p>
            <w:pPr>
              <w:widowControl/>
              <w:jc w:val="center"/>
              <w:rPr>
                <w:rFonts w:cs="宋体" w:asciiTheme="minorEastAsia" w:hAnsiTheme="minorEastAsia" w:eastAsiaTheme="minorEastAsia"/>
                <w:b/>
                <w:kern w:val="0"/>
                <w:sz w:val="20"/>
              </w:rPr>
            </w:pPr>
            <w:r>
              <w:rPr>
                <w:rFonts w:hint="eastAsia" w:cs="宋体" w:asciiTheme="minorEastAsia" w:hAnsiTheme="minorEastAsia" w:eastAsiaTheme="minorEastAsia"/>
                <w:b/>
                <w:kern w:val="0"/>
                <w:sz w:val="20"/>
              </w:rPr>
              <w:t>货物名称</w:t>
            </w:r>
          </w:p>
        </w:tc>
        <w:tc>
          <w:tcPr>
            <w:tcW w:w="1966" w:type="dxa"/>
            <w:shd w:val="clear" w:color="auto" w:fill="auto"/>
            <w:vAlign w:val="center"/>
          </w:tcPr>
          <w:p>
            <w:pPr>
              <w:widowControl/>
              <w:jc w:val="center"/>
              <w:rPr>
                <w:rFonts w:cs="宋体" w:asciiTheme="minorEastAsia" w:hAnsiTheme="minorEastAsia" w:eastAsiaTheme="minorEastAsia"/>
                <w:b/>
                <w:kern w:val="0"/>
                <w:sz w:val="20"/>
              </w:rPr>
            </w:pPr>
            <w:r>
              <w:rPr>
                <w:rFonts w:hint="eastAsia" w:cs="宋体" w:asciiTheme="minorEastAsia" w:hAnsiTheme="minorEastAsia" w:eastAsiaTheme="minorEastAsia"/>
                <w:b/>
                <w:kern w:val="0"/>
                <w:sz w:val="20"/>
              </w:rPr>
              <w:t>规格型号</w:t>
            </w:r>
          </w:p>
        </w:tc>
        <w:tc>
          <w:tcPr>
            <w:tcW w:w="638" w:type="dxa"/>
            <w:shd w:val="clear" w:color="auto" w:fill="auto"/>
            <w:vAlign w:val="center"/>
          </w:tcPr>
          <w:p>
            <w:pPr>
              <w:widowControl/>
              <w:jc w:val="center"/>
              <w:rPr>
                <w:rFonts w:cs="宋体" w:asciiTheme="minorEastAsia" w:hAnsiTheme="minorEastAsia" w:eastAsiaTheme="minorEastAsia"/>
                <w:b/>
                <w:kern w:val="0"/>
                <w:sz w:val="20"/>
              </w:rPr>
            </w:pPr>
            <w:r>
              <w:rPr>
                <w:rFonts w:hint="eastAsia" w:cs="宋体" w:asciiTheme="minorEastAsia" w:hAnsiTheme="minorEastAsia" w:eastAsiaTheme="minorEastAsia"/>
                <w:b/>
                <w:kern w:val="0"/>
                <w:sz w:val="20"/>
              </w:rPr>
              <w:t>单位</w:t>
            </w:r>
          </w:p>
        </w:tc>
        <w:tc>
          <w:tcPr>
            <w:tcW w:w="705" w:type="dxa"/>
            <w:shd w:val="clear" w:color="auto" w:fill="auto"/>
            <w:vAlign w:val="center"/>
          </w:tcPr>
          <w:p>
            <w:pPr>
              <w:widowControl/>
              <w:jc w:val="center"/>
              <w:rPr>
                <w:rFonts w:cs="宋体" w:asciiTheme="minorEastAsia" w:hAnsiTheme="minorEastAsia" w:eastAsiaTheme="minorEastAsia"/>
                <w:b/>
                <w:kern w:val="0"/>
                <w:sz w:val="20"/>
              </w:rPr>
            </w:pPr>
            <w:r>
              <w:rPr>
                <w:rFonts w:hint="eastAsia" w:cs="宋体" w:asciiTheme="minorEastAsia" w:hAnsiTheme="minorEastAsia" w:eastAsiaTheme="minorEastAsia"/>
                <w:b/>
                <w:kern w:val="0"/>
                <w:sz w:val="20"/>
              </w:rPr>
              <w:t>数量</w:t>
            </w:r>
          </w:p>
        </w:tc>
        <w:tc>
          <w:tcPr>
            <w:tcW w:w="1136" w:type="dxa"/>
            <w:shd w:val="clear" w:color="auto" w:fill="auto"/>
            <w:vAlign w:val="center"/>
          </w:tcPr>
          <w:p>
            <w:pPr>
              <w:widowControl/>
              <w:jc w:val="center"/>
              <w:rPr>
                <w:rFonts w:cs="宋体" w:asciiTheme="minorEastAsia" w:hAnsiTheme="minorEastAsia" w:eastAsiaTheme="minorEastAsia"/>
                <w:b/>
                <w:kern w:val="0"/>
                <w:sz w:val="20"/>
              </w:rPr>
            </w:pPr>
            <w:r>
              <w:rPr>
                <w:rFonts w:hint="eastAsia" w:cs="宋体" w:asciiTheme="minorEastAsia" w:hAnsiTheme="minorEastAsia" w:eastAsiaTheme="minorEastAsia"/>
                <w:b/>
                <w:kern w:val="0"/>
                <w:sz w:val="20"/>
              </w:rPr>
              <w:t xml:space="preserve">投标单价（元） </w:t>
            </w:r>
          </w:p>
        </w:tc>
        <w:tc>
          <w:tcPr>
            <w:tcW w:w="1276" w:type="dxa"/>
            <w:shd w:val="clear" w:color="auto" w:fill="auto"/>
            <w:vAlign w:val="center"/>
          </w:tcPr>
          <w:p>
            <w:pPr>
              <w:widowControl/>
              <w:jc w:val="center"/>
              <w:rPr>
                <w:rFonts w:cs="宋体" w:asciiTheme="minorEastAsia" w:hAnsiTheme="minorEastAsia" w:eastAsiaTheme="minorEastAsia"/>
                <w:b/>
                <w:kern w:val="0"/>
                <w:sz w:val="20"/>
              </w:rPr>
            </w:pPr>
            <w:r>
              <w:rPr>
                <w:rFonts w:hint="eastAsia" w:cs="宋体" w:asciiTheme="minorEastAsia" w:hAnsiTheme="minorEastAsia" w:eastAsiaTheme="minorEastAsia"/>
                <w:b/>
                <w:kern w:val="0"/>
                <w:sz w:val="20"/>
              </w:rPr>
              <w:t>投标总价（元）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3370"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90</w:t>
            </w:r>
            <w:r>
              <w:rPr>
                <w:rFonts w:hint="eastAsia" w:asciiTheme="minorEastAsia" w:hAnsiTheme="minorEastAsia" w:eastAsiaTheme="minorEastAsia"/>
                <w:kern w:val="0"/>
                <w:sz w:val="20"/>
              </w:rPr>
              <w:t>°机夹硬质合金可转位外圆车刀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90W25-T3K16</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6</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配用刀片（</w:t>
            </w:r>
            <w:r>
              <w:rPr>
                <w:rFonts w:asciiTheme="minorEastAsia" w:hAnsiTheme="minorEastAsia" w:eastAsiaTheme="minorEastAsia"/>
                <w:kern w:val="0"/>
                <w:sz w:val="20"/>
              </w:rPr>
              <w:t>P YT15</w:t>
            </w:r>
            <w:r>
              <w:rPr>
                <w:rFonts w:hint="eastAsia" w:cs="宋体" w:asciiTheme="minorEastAsia" w:hAnsiTheme="minorEastAsia" w:eastAsiaTheme="minorEastAsia"/>
                <w:kern w:val="0"/>
                <w:sz w:val="20"/>
              </w:rPr>
              <w:t>）</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T31605F</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锋钢刀条</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14×14×200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30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w:t>
            </w:r>
          </w:p>
        </w:tc>
        <w:tc>
          <w:tcPr>
            <w:tcW w:w="3370"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45</w:t>
            </w:r>
            <w:r>
              <w:rPr>
                <w:rFonts w:hint="eastAsia" w:asciiTheme="minorEastAsia" w:hAnsiTheme="minorEastAsia" w:eastAsiaTheme="minorEastAsia"/>
                <w:kern w:val="0"/>
                <w:sz w:val="20"/>
              </w:rPr>
              <w:t>°机夹车刀配用刀片</w:t>
            </w:r>
            <w:r>
              <w:rPr>
                <w:rFonts w:asciiTheme="minorEastAsia" w:hAnsiTheme="minorEastAsia" w:eastAsiaTheme="minorEastAsia"/>
                <w:kern w:val="0"/>
                <w:sz w:val="20"/>
              </w:rPr>
              <w:t> </w:t>
            </w:r>
            <w:r>
              <w:rPr>
                <w:rFonts w:hint="eastAsia" w:asciiTheme="minorEastAsia" w:hAnsiTheme="minorEastAsia" w:eastAsiaTheme="minorEastAsia"/>
                <w:kern w:val="0"/>
                <w:sz w:val="20"/>
              </w:rPr>
              <w:t>（</w:t>
            </w:r>
            <w:r>
              <w:rPr>
                <w:rFonts w:asciiTheme="minorEastAsia" w:hAnsiTheme="minorEastAsia" w:eastAsiaTheme="minorEastAsia"/>
                <w:kern w:val="0"/>
                <w:sz w:val="20"/>
              </w:rPr>
              <w:t>P YT15</w:t>
            </w:r>
            <w:r>
              <w:rPr>
                <w:rFonts w:hint="eastAsia" w:asciiTheme="minorEastAsia" w:hAnsiTheme="minorEastAsia" w:eastAsiaTheme="minorEastAsia"/>
                <w:kern w:val="0"/>
                <w:sz w:val="20"/>
              </w:rPr>
              <w:t>）</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41605F</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机夹硬质合金可转位外螺纹车刀配用刀片</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M608</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机夹硬质合金可转位外螺纹车刀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L25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6</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机夹内孔切槽车刀</w:t>
            </w:r>
            <w:r>
              <w:rPr>
                <w:rFonts w:asciiTheme="minorEastAsia" w:hAnsiTheme="minorEastAsia" w:eastAsiaTheme="minorEastAsia"/>
                <w:kern w:val="0"/>
                <w:sz w:val="20"/>
              </w:rPr>
              <w:t>(</w:t>
            </w:r>
            <w:r>
              <w:rPr>
                <w:rFonts w:hint="eastAsia" w:cs="宋体" w:asciiTheme="minorEastAsia" w:hAnsiTheme="minorEastAsia" w:eastAsiaTheme="minorEastAsia"/>
                <w:kern w:val="0"/>
                <w:sz w:val="20"/>
              </w:rPr>
              <w:t>套装刀盒</w:t>
            </w:r>
            <w:r>
              <w:rPr>
                <w:rFonts w:asciiTheme="minorEastAsia" w:hAnsiTheme="minorEastAsia" w:eastAsiaTheme="minorEastAsia"/>
                <w:kern w:val="0"/>
                <w:sz w:val="20"/>
              </w:rPr>
              <w:t>)</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N1</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配用刀片</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N101-1</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配用刀片</w:t>
            </w:r>
            <w:r>
              <w:rPr>
                <w:rFonts w:asciiTheme="minorEastAsia" w:hAnsiTheme="minorEastAsia" w:eastAsiaTheme="minorEastAsia"/>
                <w:kern w:val="0"/>
                <w:sz w:val="20"/>
              </w:rPr>
              <w:t>(P YT15)</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T31005FL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锋钢切刀片</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4×16×200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机油壶</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300ml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圆棒料</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45# φ</w:t>
            </w:r>
            <w:r>
              <w:rPr>
                <w:rFonts w:asciiTheme="minorEastAsia" w:hAnsiTheme="minorEastAsia" w:eastAsiaTheme="minorEastAsia"/>
                <w:kern w:val="0"/>
                <w:sz w:val="20"/>
              </w:rPr>
              <w:t>25</w:t>
            </w:r>
            <w:r>
              <w:rPr>
                <w:rFonts w:hint="eastAsia" w:cs="宋体" w:asciiTheme="minorEastAsia" w:hAnsiTheme="minorEastAsia" w:eastAsiaTheme="minorEastAsia"/>
                <w:kern w:val="0"/>
                <w:sz w:val="20"/>
              </w:rPr>
              <w:t>×</w:t>
            </w:r>
            <w:r>
              <w:rPr>
                <w:rFonts w:asciiTheme="minorEastAsia" w:hAnsiTheme="minorEastAsia" w:eastAsiaTheme="minorEastAsia"/>
                <w:kern w:val="0"/>
                <w:sz w:val="20"/>
              </w:rPr>
              <w:t>6000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30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螺纹环规</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M38</w:t>
            </w:r>
            <w:r>
              <w:rPr>
                <w:rFonts w:hint="eastAsia" w:asciiTheme="minorEastAsia" w:hAnsiTheme="minorEastAsia" w:eastAsiaTheme="minorEastAsia"/>
                <w:kern w:val="0"/>
                <w:sz w:val="20"/>
              </w:rPr>
              <w:t>×</w:t>
            </w:r>
            <w:r>
              <w:rPr>
                <w:rFonts w:asciiTheme="minorEastAsia" w:hAnsiTheme="minorEastAsia" w:eastAsiaTheme="minorEastAsia"/>
                <w:kern w:val="0"/>
                <w:sz w:val="20"/>
              </w:rPr>
              <w:t>1.5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付</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螺纹环规</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M20</w:t>
            </w:r>
            <w:r>
              <w:rPr>
                <w:rFonts w:hint="eastAsia" w:asciiTheme="minorEastAsia" w:hAnsiTheme="minorEastAsia" w:eastAsiaTheme="minorEastAsia"/>
                <w:kern w:val="0"/>
                <w:sz w:val="20"/>
              </w:rPr>
              <w:t>×</w:t>
            </w:r>
            <w:r>
              <w:rPr>
                <w:rFonts w:asciiTheme="minorEastAsia" w:hAnsiTheme="minorEastAsia" w:eastAsiaTheme="minorEastAsia"/>
                <w:kern w:val="0"/>
                <w:sz w:val="20"/>
              </w:rPr>
              <w:t>1.5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付</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麻花钻</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w:t>
            </w:r>
            <w:r>
              <w:rPr>
                <w:rFonts w:asciiTheme="minorEastAsia" w:hAnsiTheme="minorEastAsia" w:eastAsiaTheme="minorEastAsia"/>
                <w:kern w:val="0"/>
                <w:sz w:val="20"/>
              </w:rPr>
              <w:t>12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支</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麻花钻</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w:t>
            </w:r>
            <w:r>
              <w:rPr>
                <w:rFonts w:asciiTheme="minorEastAsia" w:hAnsiTheme="minorEastAsia" w:eastAsiaTheme="minorEastAsia"/>
                <w:kern w:val="0"/>
                <w:sz w:val="20"/>
              </w:rPr>
              <w:t>24</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支</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急停旋钮</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XB2BS542C</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棒料 </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w:t>
            </w:r>
            <w:r>
              <w:rPr>
                <w:rFonts w:hint="eastAsia" w:asciiTheme="minorEastAsia" w:hAnsiTheme="minorEastAsia" w:eastAsiaTheme="minorEastAsia"/>
                <w:kern w:val="0"/>
                <w:sz w:val="20"/>
              </w:rPr>
              <w:t> </w:t>
            </w:r>
            <w:r>
              <w:rPr>
                <w:rFonts w:asciiTheme="minorEastAsia" w:hAnsiTheme="minorEastAsia" w:eastAsiaTheme="minorEastAsia"/>
                <w:kern w:val="0"/>
                <w:sz w:val="20"/>
              </w:rPr>
              <w:t>Φ25×9000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尖嘴钳</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6</w:t>
            </w:r>
            <w:r>
              <w:rPr>
                <w:rFonts w:hint="eastAsia" w:asciiTheme="minorEastAsia" w:hAnsiTheme="minorEastAsia" w:eastAsiaTheme="minorEastAsia"/>
                <w:kern w:val="0"/>
                <w:sz w:val="20"/>
              </w:rPr>
              <w:t>寸</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电工刀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BK305001</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圆棒料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 Φ30×9000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铁皮工具箱</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450×200×150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Q235 155×40×5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w:t>
            </w:r>
            <w:r>
              <w:rPr>
                <w:rFonts w:hint="eastAsia" w:asciiTheme="minorEastAsia" w:hAnsiTheme="minorEastAsia" w:eastAsiaTheme="minorEastAsia"/>
                <w:kern w:val="0"/>
                <w:sz w:val="20"/>
              </w:rPr>
              <w:t xml:space="preserve"> </w:t>
            </w:r>
            <w:r>
              <w:rPr>
                <w:rFonts w:asciiTheme="minorEastAsia" w:hAnsiTheme="minorEastAsia" w:eastAsiaTheme="minorEastAsia"/>
                <w:kern w:val="0"/>
                <w:sz w:val="20"/>
              </w:rPr>
              <w:t>300×300×25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45号钢棒料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45#  φ45×6000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45号钢棒料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45#  φ50×6000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YT15外圆车刀片</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T31305F</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螺纹刀片</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16ER</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硬质合金球头立铣刀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R2×4×8×50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硬质合金球头立铣刀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R3×6×12×50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硬质合金球头立铣刀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R4×8×16×60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硬质合金直柄立铣刀（</w:t>
            </w:r>
            <w:r>
              <w:rPr>
                <w:rFonts w:asciiTheme="minorEastAsia" w:hAnsiTheme="minorEastAsia" w:eastAsiaTheme="minorEastAsia"/>
                <w:kern w:val="0"/>
                <w:sz w:val="20"/>
              </w:rPr>
              <w:t>3</w:t>
            </w:r>
            <w:r>
              <w:rPr>
                <w:rFonts w:hint="eastAsia" w:cs="宋体" w:asciiTheme="minorEastAsia" w:hAnsiTheme="minorEastAsia" w:eastAsiaTheme="minorEastAsia"/>
                <w:kern w:val="0"/>
                <w:sz w:val="20"/>
              </w:rPr>
              <w:t>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8×8×20×60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硬质合金直柄立铣刀（</w:t>
            </w:r>
            <w:r>
              <w:rPr>
                <w:rFonts w:asciiTheme="minorEastAsia" w:hAnsiTheme="minorEastAsia" w:eastAsiaTheme="minorEastAsia"/>
                <w:kern w:val="0"/>
                <w:sz w:val="20"/>
              </w:rPr>
              <w:t>3</w:t>
            </w:r>
            <w:r>
              <w:rPr>
                <w:rFonts w:hint="eastAsia" w:cs="宋体" w:asciiTheme="minorEastAsia" w:hAnsiTheme="minorEastAsia" w:eastAsiaTheme="minorEastAsia"/>
                <w:kern w:val="0"/>
                <w:sz w:val="20"/>
              </w:rPr>
              <w:t>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10×10×25×75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硬质合金直柄立铣刀（</w:t>
            </w:r>
            <w:r>
              <w:rPr>
                <w:rFonts w:asciiTheme="minorEastAsia" w:hAnsiTheme="minorEastAsia" w:eastAsiaTheme="minorEastAsia"/>
                <w:kern w:val="0"/>
                <w:sz w:val="20"/>
              </w:rPr>
              <w:t>3</w:t>
            </w:r>
            <w:r>
              <w:rPr>
                <w:rFonts w:hint="eastAsia" w:cs="宋体" w:asciiTheme="minorEastAsia" w:hAnsiTheme="minorEastAsia" w:eastAsiaTheme="minorEastAsia"/>
                <w:kern w:val="0"/>
                <w:sz w:val="20"/>
              </w:rPr>
              <w:t>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12×12×30×75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硬质合金球头立铣刀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R5×10×20×75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圆棒料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 Φ12×9000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线插板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10A  3M  8</w:t>
            </w:r>
            <w:r>
              <w:rPr>
                <w:rFonts w:hint="eastAsia" w:asciiTheme="minorEastAsia" w:hAnsiTheme="minorEastAsia" w:eastAsiaTheme="minorEastAsia"/>
                <w:kern w:val="0"/>
                <w:sz w:val="20"/>
              </w:rPr>
              <w:t>插位</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钢直尺</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150mm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研磨砂</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180目/125g</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盒</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划针</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双头</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支</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粗平锉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12寸粗齿（300mm）</w:t>
            </w:r>
          </w:p>
        </w:tc>
        <w:tc>
          <w:tcPr>
            <w:tcW w:w="638" w:type="dxa"/>
            <w:shd w:val="clear" w:color="auto" w:fill="auto"/>
            <w:vAlign w:val="center"/>
          </w:tcPr>
          <w:p>
            <w:pPr>
              <w:widowControl/>
              <w:jc w:val="center"/>
              <w:rPr>
                <w:rFonts w:cs="宋体" w:asciiTheme="minorEastAsia" w:hAnsiTheme="minorEastAsia" w:eastAsiaTheme="minorEastAsia"/>
                <w:kern w:val="0"/>
                <w:sz w:val="16"/>
                <w:szCs w:val="16"/>
              </w:rPr>
            </w:pPr>
            <w:r>
              <w:rPr>
                <w:rFonts w:hint="eastAsia" w:cs="宋体" w:asciiTheme="minorEastAsia" w:hAnsiTheme="minorEastAsia" w:eastAsiaTheme="minorEastAsia"/>
                <w:kern w:val="0"/>
                <w:sz w:val="16"/>
                <w:szCs w:val="16"/>
              </w:rPr>
              <w:t>盒（5支装）</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细平锉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12寸细齿（300mm）</w:t>
            </w:r>
          </w:p>
        </w:tc>
        <w:tc>
          <w:tcPr>
            <w:tcW w:w="638" w:type="dxa"/>
            <w:shd w:val="clear" w:color="auto" w:fill="auto"/>
            <w:vAlign w:val="center"/>
          </w:tcPr>
          <w:p>
            <w:pPr>
              <w:widowControl/>
              <w:jc w:val="center"/>
              <w:rPr>
                <w:rFonts w:cs="宋体" w:asciiTheme="minorEastAsia" w:hAnsiTheme="minorEastAsia" w:eastAsiaTheme="minorEastAsia"/>
                <w:kern w:val="0"/>
                <w:sz w:val="16"/>
                <w:szCs w:val="16"/>
              </w:rPr>
            </w:pPr>
            <w:r>
              <w:rPr>
                <w:rFonts w:hint="eastAsia" w:cs="宋体" w:asciiTheme="minorEastAsia" w:hAnsiTheme="minorEastAsia" w:eastAsiaTheme="minorEastAsia"/>
                <w:kern w:val="0"/>
                <w:sz w:val="16"/>
                <w:szCs w:val="16"/>
              </w:rPr>
              <w:t>盒（5支装）</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细圆锉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8寸细齿（200mm）</w:t>
            </w:r>
          </w:p>
        </w:tc>
        <w:tc>
          <w:tcPr>
            <w:tcW w:w="638" w:type="dxa"/>
            <w:shd w:val="clear" w:color="auto" w:fill="auto"/>
            <w:vAlign w:val="center"/>
          </w:tcPr>
          <w:p>
            <w:pPr>
              <w:widowControl/>
              <w:jc w:val="center"/>
              <w:rPr>
                <w:rFonts w:cs="宋体" w:asciiTheme="minorEastAsia" w:hAnsiTheme="minorEastAsia" w:eastAsiaTheme="minorEastAsia"/>
                <w:kern w:val="0"/>
                <w:sz w:val="16"/>
                <w:szCs w:val="16"/>
              </w:rPr>
            </w:pPr>
            <w:r>
              <w:rPr>
                <w:rFonts w:hint="eastAsia" w:cs="宋体" w:asciiTheme="minorEastAsia" w:hAnsiTheme="minorEastAsia" w:eastAsiaTheme="minorEastAsia"/>
                <w:kern w:val="0"/>
                <w:sz w:val="16"/>
                <w:szCs w:val="16"/>
              </w:rPr>
              <w:t>盒（5支装）</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细方锉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8寸细齿（200mm）</w:t>
            </w:r>
          </w:p>
        </w:tc>
        <w:tc>
          <w:tcPr>
            <w:tcW w:w="638" w:type="dxa"/>
            <w:shd w:val="clear" w:color="auto" w:fill="auto"/>
            <w:vAlign w:val="center"/>
          </w:tcPr>
          <w:p>
            <w:pPr>
              <w:widowControl/>
              <w:jc w:val="center"/>
              <w:rPr>
                <w:rFonts w:cs="宋体" w:asciiTheme="minorEastAsia" w:hAnsiTheme="minorEastAsia" w:eastAsiaTheme="minorEastAsia"/>
                <w:kern w:val="0"/>
                <w:sz w:val="16"/>
                <w:szCs w:val="16"/>
              </w:rPr>
            </w:pPr>
            <w:r>
              <w:rPr>
                <w:rFonts w:hint="eastAsia" w:cs="宋体" w:asciiTheme="minorEastAsia" w:hAnsiTheme="minorEastAsia" w:eastAsiaTheme="minorEastAsia"/>
                <w:kern w:val="0"/>
                <w:sz w:val="16"/>
                <w:szCs w:val="16"/>
              </w:rPr>
              <w:t>盒（5支装）</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扁錾</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10mm刃口</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什锦锉</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4×160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焊锡丝</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0.8mm 63A 450g</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圈</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行程开关</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JW2A-11H/L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塑胶盆</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毛刷</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4ˊ</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美工刀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40113</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铜棒</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φ40×700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锯弓</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300mm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钢丝刷</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250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钢板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105×50×20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140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端铣刀盘</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DG125-16</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配用刀片</w:t>
            </w:r>
            <w:r>
              <w:rPr>
                <w:rFonts w:asciiTheme="minorEastAsia" w:hAnsiTheme="minorEastAsia" w:eastAsiaTheme="minorEastAsia"/>
                <w:kern w:val="0"/>
                <w:sz w:val="20"/>
              </w:rPr>
              <w:t>YT14</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4160511</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螺旋圆柱铣刀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50×22×45×6</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铝合金棒</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φ50×2000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铝合金块</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100×100×50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可转位三面刃铣刀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125×32×20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螺旋周铣刀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80×32×63×10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铝合金块</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150×100×50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超硬直柄立铣刀（3齿）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8×8×22×60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超硬直柄立铣刀（3齿）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8×8×19×63</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超硬直柄立铣刀（3齿）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10×10×22×72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直柄键槽铣刀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φ8</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直柄键槽铣刀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φ10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直柄键槽铣刀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φ12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微小径铣刀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φ1</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微小径铣刀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球头铣刀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数控铣弹簧夹头ER40</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φ16</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PCB万用板</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9*15CM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电阻</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1kΩ</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电阻</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50Ω</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电阻</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220Ω</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电容</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30pF</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电解电容</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10uF</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稳压二极管</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3.3V</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发光二极管</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F5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晶振</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12MHz</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按键开关</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6*6*5MM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七段数码管</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共阴极</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锁紧座</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DIP-40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蜂鸣器</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DC3~24V</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反相器</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74LS05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电池盒</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4节装  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稳压管</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LM7085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电池</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1.5V</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节</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解码器</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74LS48</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LED</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红、绿、黄</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无酸助焊剂</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8s005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盒</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彩色杜邦线</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10P 7色</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铝芯线</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BLV2.5平方绿色</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圈</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铝芯线</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BLV2.5平方黄色</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圈</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灯泡</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螺口  220V40w</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三相四孔插座、插头</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380v</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副</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保险管</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RT23 aM1 gG4A</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保险管</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RT23 aM1 gG2A</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保险管</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RT23 aM1 gG1A</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急停开关</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LA42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急停开关</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IEC947</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 50×50×5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400</w:t>
            </w:r>
          </w:p>
        </w:tc>
        <w:tc>
          <w:tcPr>
            <w:tcW w:w="1136" w:type="dxa"/>
            <w:shd w:val="clear" w:color="auto" w:fill="auto"/>
            <w:vAlign w:val="center"/>
          </w:tcPr>
          <w:p>
            <w:pPr>
              <w:widowControl/>
              <w:jc w:val="center"/>
              <w:rPr>
                <w:rFonts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直柄扩孔钻</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φ9.8</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支</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机油</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15#</w:t>
            </w:r>
            <w:r>
              <w:rPr>
                <w:rFonts w:hint="eastAsia" w:asciiTheme="minorEastAsia" w:hAnsiTheme="minorEastAsia" w:eastAsiaTheme="minorEastAsia"/>
                <w:kern w:val="0"/>
                <w:sz w:val="20"/>
              </w:rPr>
              <w:t>（</w:t>
            </w:r>
            <w:r>
              <w:rPr>
                <w:rFonts w:asciiTheme="minorEastAsia" w:hAnsiTheme="minorEastAsia" w:eastAsiaTheme="minorEastAsia"/>
                <w:kern w:val="0"/>
                <w:sz w:val="20"/>
              </w:rPr>
              <w:t>200L/</w:t>
            </w:r>
            <w:r>
              <w:rPr>
                <w:rFonts w:hint="eastAsia" w:asciiTheme="minorEastAsia" w:hAnsiTheme="minorEastAsia" w:eastAsiaTheme="minorEastAsia"/>
                <w:kern w:val="0"/>
                <w:sz w:val="20"/>
              </w:rPr>
              <w:t>桶）</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桶</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丝锥</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M12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支</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M12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支</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塑封纸（厚）</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A4</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包</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内六角螺钉</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M6×15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活动扳手</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300×36</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内六角螺钉</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M12×30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内六角螺钉</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M8×30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内六角螺钉</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M6×25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螺母</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M6</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螺母</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M8</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螺母</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M12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弹簧垫圈</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M8</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弹簧垫圈</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M12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方块电池</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6</w:t>
            </w:r>
            <w:r>
              <w:rPr>
                <w:rFonts w:hint="eastAsia" w:asciiTheme="minorEastAsia" w:hAnsiTheme="minorEastAsia" w:eastAsiaTheme="minorEastAsia"/>
                <w:kern w:val="0"/>
                <w:sz w:val="20"/>
              </w:rPr>
              <w:t>F22 9V</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金属网软管</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w:t>
            </w:r>
            <w:r>
              <w:rPr>
                <w:rFonts w:hint="eastAsia" w:asciiTheme="minorEastAsia" w:hAnsiTheme="minorEastAsia" w:eastAsiaTheme="minorEastAsia"/>
                <w:kern w:val="0"/>
                <w:sz w:val="20"/>
              </w:rPr>
              <w:t>〞</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螺纹对刀样板</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不锈钢</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手动抽油泵</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25</w:t>
            </w:r>
            <w:r>
              <w:rPr>
                <w:rFonts w:hint="eastAsia" w:asciiTheme="minorEastAsia" w:hAnsiTheme="minorEastAsia" w:eastAsiaTheme="minorEastAsia"/>
                <w:kern w:val="0"/>
                <w:sz w:val="20"/>
              </w:rPr>
              <w:t>型</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铜芯挂锁</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φ10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双面卷闸门锁</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通用</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铁皮剪</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刃口带锯齿 可剪5mm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皮尺</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30m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护目镜</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防尘</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付</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高压汞灯</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250w   E40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高压汞灯</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160w   E27</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LED强光手电筒（细柄）</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远射350m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铣刀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R0.5*2C*4D*50L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铣刀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D0.5*2C*4D*50L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铣刀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D1*3C*4D*50L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铣刀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D2*6C*4D*50L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铣刀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D3*8C*3D*50L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铝块</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40*60*2000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线切割丝</w:t>
            </w:r>
          </w:p>
        </w:tc>
        <w:tc>
          <w:tcPr>
            <w:tcW w:w="1966" w:type="dxa"/>
            <w:shd w:val="clear" w:color="auto" w:fill="auto"/>
            <w:vAlign w:val="center"/>
          </w:tcPr>
          <w:p>
            <w:pPr>
              <w:widowControl/>
              <w:jc w:val="center"/>
              <w:rPr>
                <w:rFonts w:cs="宋体" w:asciiTheme="minorEastAsia" w:hAnsiTheme="minorEastAsia" w:eastAsiaTheme="minorEastAsia"/>
                <w:kern w:val="0"/>
                <w:sz w:val="16"/>
                <w:szCs w:val="16"/>
              </w:rPr>
            </w:pPr>
            <w:r>
              <w:rPr>
                <w:rFonts w:hint="eastAsia" w:cs="宋体" w:asciiTheme="minorEastAsia" w:hAnsiTheme="minorEastAsia" w:eastAsiaTheme="minorEastAsia"/>
                <w:kern w:val="0"/>
                <w:sz w:val="16"/>
                <w:szCs w:val="16"/>
              </w:rPr>
              <w:t>F568-9；0.18mm；1340m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圈</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打印耗材</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PLA   1.75mm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卷</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3D打印工具套件</w:t>
            </w:r>
          </w:p>
        </w:tc>
        <w:tc>
          <w:tcPr>
            <w:tcW w:w="1966" w:type="dxa"/>
            <w:shd w:val="clear" w:color="auto" w:fill="auto"/>
            <w:vAlign w:val="center"/>
          </w:tcPr>
          <w:p>
            <w:pPr>
              <w:widowControl/>
              <w:jc w:val="center"/>
              <w:rPr>
                <w:rFonts w:cs="宋体" w:asciiTheme="minorEastAsia" w:hAnsiTheme="minorEastAsia" w:eastAsiaTheme="minorEastAsia"/>
                <w:kern w:val="0"/>
                <w:sz w:val="16"/>
                <w:szCs w:val="16"/>
              </w:rPr>
            </w:pPr>
            <w:r>
              <w:rPr>
                <w:rFonts w:hint="eastAsia" w:cs="宋体" w:asciiTheme="minorEastAsia" w:hAnsiTheme="minorEastAsia" w:eastAsiaTheme="minorEastAsia"/>
                <w:kern w:val="0"/>
                <w:sz w:val="16"/>
                <w:szCs w:val="16"/>
              </w:rPr>
              <w:t>63件（含打磨机、刻刀、平口钳、锉刀）</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w:t>
            </w:r>
            <w:r>
              <w:rPr>
                <w:rFonts w:hint="eastAsia" w:asciiTheme="minorEastAsia" w:hAnsiTheme="minorEastAsia" w:eastAsiaTheme="minorEastAsia"/>
                <w:kern w:val="0"/>
                <w:sz w:val="20"/>
              </w:rPr>
              <w:t xml:space="preserve"> </w:t>
            </w:r>
            <w:r>
              <w:rPr>
                <w:rFonts w:asciiTheme="minorEastAsia" w:hAnsiTheme="minorEastAsia" w:eastAsiaTheme="minorEastAsia"/>
                <w:kern w:val="0"/>
                <w:sz w:val="20"/>
              </w:rPr>
              <w:t>240×200×30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w:t>
            </w:r>
            <w:r>
              <w:rPr>
                <w:rFonts w:hint="eastAsia" w:asciiTheme="minorEastAsia" w:hAnsiTheme="minorEastAsia" w:eastAsiaTheme="minorEastAsia"/>
                <w:kern w:val="0"/>
                <w:sz w:val="20"/>
              </w:rPr>
              <w:t xml:space="preserve"> </w:t>
            </w:r>
            <w:r>
              <w:rPr>
                <w:rFonts w:asciiTheme="minorEastAsia" w:hAnsiTheme="minorEastAsia" w:eastAsiaTheme="minorEastAsia"/>
                <w:kern w:val="0"/>
                <w:sz w:val="20"/>
              </w:rPr>
              <w:t>200×200×50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Q235 200×80×50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w:t>
            </w:r>
            <w:r>
              <w:rPr>
                <w:rFonts w:hint="eastAsia" w:asciiTheme="minorEastAsia" w:hAnsiTheme="minorEastAsia" w:eastAsiaTheme="minorEastAsia"/>
                <w:kern w:val="0"/>
                <w:sz w:val="20"/>
              </w:rPr>
              <w:t xml:space="preserve"> </w:t>
            </w:r>
            <w:r>
              <w:rPr>
                <w:rFonts w:asciiTheme="minorEastAsia" w:hAnsiTheme="minorEastAsia" w:eastAsiaTheme="minorEastAsia"/>
                <w:kern w:val="0"/>
                <w:sz w:val="20"/>
              </w:rPr>
              <w:t>450×250×45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w:t>
            </w:r>
            <w:r>
              <w:rPr>
                <w:rFonts w:hint="eastAsia" w:asciiTheme="minorEastAsia" w:hAnsiTheme="minorEastAsia" w:eastAsiaTheme="minorEastAsia"/>
                <w:kern w:val="0"/>
                <w:sz w:val="20"/>
              </w:rPr>
              <w:t xml:space="preserve"> </w:t>
            </w:r>
            <w:r>
              <w:rPr>
                <w:rFonts w:asciiTheme="minorEastAsia" w:hAnsiTheme="minorEastAsia" w:eastAsiaTheme="minorEastAsia"/>
                <w:kern w:val="0"/>
                <w:sz w:val="20"/>
              </w:rPr>
              <w:t>150×100×25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3d打印机模型后期处理专用工具</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7件套</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自喷漆</w:t>
            </w:r>
          </w:p>
        </w:tc>
        <w:tc>
          <w:tcPr>
            <w:tcW w:w="1966" w:type="dxa"/>
            <w:shd w:val="clear" w:color="auto" w:fill="auto"/>
            <w:vAlign w:val="center"/>
          </w:tcPr>
          <w:p>
            <w:pPr>
              <w:widowControl/>
              <w:jc w:val="left"/>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258g  镀金、镀铬</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瓶</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3D模型丙烯画颜料</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24色</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盒</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3D打印模型漆</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150ml  彩色</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瓶</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水管快速接头</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棉布劳保手套</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加厚</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双</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棉纱</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棉</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铣刀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D16*16D*100L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铝块</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25*400*600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铝棒</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φ300*70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铝棒</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φ80*2m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铝棒</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φ130*300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铝块</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250*180*50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铸铁直角板（曲铮）</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12寸</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简易快速分度头</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5寸（配125卡盘）</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台</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内用曲口卡簧钳</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9寸</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黑碳化硅大气孔砂轮</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200*20*32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数控90°外圆车刀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MVJNR2020K16</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164</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Q235钢板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385×210×40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165</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Q235钢板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205×165×35</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166</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Q235钢板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120×50×12</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167</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Q235钢板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150×150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168</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45钢棒料</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Φ65×6000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根</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169</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45钢棒料</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Φ50×6000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根</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170</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380*380*50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171</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210*230*40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172</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钢板加强筋</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210*95*25</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173</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平衡块钢板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125*28*53</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174</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135*230*35</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175</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板材</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370*370*50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176</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钢板材料</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300*280*32</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钢板材料</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182*120*50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钢板材料</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180*44*20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钢板材料</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122*55*35mm</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棒料</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φ120*400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棒料</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φ165*300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5"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六角头螺栓C级</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M8-60  GB/T5780-2000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0"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圆柱销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A10x50  GB/T119.1-2000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小垫圈A级</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8.4x16x1.6  GB/T848-2002</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95"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六角螺母</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M30  GB/T6172.1-2000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585"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钢珠</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SΦ9mm   GB/T17445-1998</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圆柱销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A10x30  GB/T5780-2000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5"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活结螺栓</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M20   L=180 GB/798-88</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六角螺母</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M16   GB/6170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螺栓</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M8X70  GB/5782</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平头十字螺钉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M8  GB/8191-2000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内六角圆柱头螺钉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M8X52  GB/70.1</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内螺角螺钉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GB/T70.1  M10×40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内螺角螺钉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GB/T70.1  M6×30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内螺角螺钉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GB/T70.1  M8×40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圆柱销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GB/T119.1 4M6×30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螺栓</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GB/T5782 M16×65</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xml:space="preserve"> 垫圈</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GB/T97.1  16</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xml:space="preserve"> 垫圈</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GB/T848  10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xml:space="preserve"> 垫圈</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xml:space="preserve">GB/T848   8 </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内螺角螺钉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GB/T70.1  M8×80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四工位钳工桌（配8′虎钳、隔板）</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1500*1299*800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台</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690" w:hRule="atLeast"/>
        </w:trPr>
        <w:tc>
          <w:tcPr>
            <w:tcW w:w="3886" w:type="dxa"/>
            <w:gridSpan w:val="2"/>
            <w:vAlign w:val="center"/>
          </w:tcPr>
          <w:p>
            <w:pPr>
              <w:spacing w:line="400" w:lineRule="exact"/>
              <w:ind w:left="212" w:leftChars="101" w:firstLine="420" w:firstLineChars="200"/>
              <w:contextualSpacing/>
              <w:rPr>
                <w:rFonts w:asciiTheme="minorEastAsia" w:hAnsiTheme="minorEastAsia" w:eastAsiaTheme="minorEastAsia"/>
                <w:szCs w:val="21"/>
              </w:rPr>
            </w:pPr>
            <w:r>
              <w:rPr>
                <w:rFonts w:hint="eastAsia" w:asciiTheme="minorEastAsia" w:hAnsiTheme="minorEastAsia" w:eastAsiaTheme="minorEastAsia"/>
                <w:szCs w:val="21"/>
              </w:rPr>
              <w:t>总金额（元）</w:t>
            </w:r>
          </w:p>
        </w:tc>
        <w:tc>
          <w:tcPr>
            <w:tcW w:w="5721" w:type="dxa"/>
            <w:gridSpan w:val="5"/>
            <w:vAlign w:val="center"/>
          </w:tcPr>
          <w:p>
            <w:pPr>
              <w:spacing w:line="400" w:lineRule="exact"/>
              <w:ind w:left="212" w:leftChars="101"/>
              <w:contextualSpacing/>
              <w:rPr>
                <w:rFonts w:asciiTheme="minorEastAsia" w:hAnsiTheme="minorEastAsia" w:eastAsiaTheme="minorEastAsia"/>
                <w:szCs w:val="21"/>
              </w:rPr>
            </w:pPr>
            <w:r>
              <w:rPr>
                <w:rFonts w:hint="eastAsia" w:asciiTheme="minorEastAsia" w:hAnsiTheme="minorEastAsia" w:eastAsiaTheme="minorEastAsia"/>
                <w:szCs w:val="21"/>
              </w:rPr>
              <w:t>小写：                 大写：</w:t>
            </w:r>
          </w:p>
        </w:tc>
      </w:tr>
    </w:tbl>
    <w:p>
      <w:pPr>
        <w:spacing w:line="400" w:lineRule="exact"/>
        <w:ind w:left="105" w:leftChars="50" w:firstLine="420" w:firstLineChars="200"/>
        <w:contextualSpacing/>
        <w:rPr>
          <w:rFonts w:ascii="宋体" w:hAnsi="宋体"/>
          <w:szCs w:val="21"/>
        </w:rPr>
      </w:pPr>
      <w:r>
        <w:rPr>
          <w:rFonts w:hint="eastAsia" w:ascii="宋体" w:hAnsi="宋体"/>
          <w:szCs w:val="21"/>
        </w:rPr>
        <w:t>注：1. 投标商家需根据使用计划和要求按时、按质、按量送达使用单位指定地点。投标产品需符</w:t>
      </w:r>
    </w:p>
    <w:p>
      <w:pPr>
        <w:spacing w:line="400" w:lineRule="exact"/>
        <w:ind w:left="105" w:leftChars="50"/>
        <w:contextualSpacing/>
        <w:rPr>
          <w:rFonts w:ascii="宋体" w:hAnsi="宋体"/>
          <w:szCs w:val="21"/>
        </w:rPr>
      </w:pPr>
      <w:r>
        <w:rPr>
          <w:rFonts w:hint="eastAsia" w:ascii="宋体" w:hAnsi="宋体"/>
          <w:szCs w:val="21"/>
        </w:rPr>
        <w:t>合国家国家相关规定和行业标准。</w:t>
      </w:r>
    </w:p>
    <w:p>
      <w:pPr>
        <w:spacing w:line="400" w:lineRule="exact"/>
        <w:ind w:left="105" w:leftChars="50" w:firstLine="420" w:firstLineChars="200"/>
        <w:contextualSpacing/>
        <w:rPr>
          <w:rFonts w:ascii="宋体" w:hAnsi="宋体"/>
          <w:szCs w:val="21"/>
        </w:rPr>
      </w:pPr>
      <w:r>
        <w:rPr>
          <w:rFonts w:hint="eastAsia" w:ascii="宋体" w:hAnsi="宋体"/>
          <w:szCs w:val="21"/>
        </w:rPr>
        <w:t xml:space="preserve">    2. 严正声明：以上技术参数及要求都必须满足；数量为概算，以实际使用量为结算依据，投标商家自己进行风险评估。</w:t>
      </w:r>
    </w:p>
    <w:p>
      <w:pPr>
        <w:spacing w:line="400" w:lineRule="exact"/>
        <w:ind w:left="105" w:leftChars="50"/>
        <w:contextualSpacing/>
        <w:jc w:val="center"/>
        <w:rPr>
          <w:rFonts w:ascii="黑体" w:hAnsi="黑体" w:eastAsia="黑体"/>
          <w:bCs/>
          <w:sz w:val="32"/>
          <w:szCs w:val="32"/>
        </w:rPr>
      </w:pPr>
    </w:p>
    <w:p>
      <w:pPr>
        <w:spacing w:line="400" w:lineRule="exact"/>
        <w:ind w:left="105" w:leftChars="50"/>
        <w:contextualSpacing/>
        <w:jc w:val="center"/>
        <w:rPr>
          <w:rFonts w:ascii="黑体" w:hAnsi="黑体" w:eastAsia="黑体"/>
          <w:bCs/>
          <w:sz w:val="36"/>
          <w:szCs w:val="36"/>
        </w:rPr>
      </w:pPr>
      <w:r>
        <w:rPr>
          <w:rFonts w:hint="eastAsia" w:ascii="黑体" w:hAnsi="黑体" w:eastAsia="黑体"/>
          <w:bCs/>
          <w:sz w:val="36"/>
          <w:szCs w:val="36"/>
        </w:rPr>
        <w:t>第七章  评标办法</w:t>
      </w:r>
      <w:bookmarkEnd w:id="169"/>
      <w:bookmarkEnd w:id="170"/>
      <w:bookmarkEnd w:id="171"/>
      <w:bookmarkEnd w:id="172"/>
      <w:bookmarkStart w:id="188" w:name="_Hlt101846155"/>
      <w:bookmarkEnd w:id="188"/>
      <w:bookmarkStart w:id="189" w:name="_Toc217446097"/>
      <w:bookmarkStart w:id="190" w:name="_Toc183582280"/>
      <w:bookmarkStart w:id="191" w:name="_Toc208849007"/>
      <w:bookmarkStart w:id="192" w:name="_Toc183682415"/>
    </w:p>
    <w:p>
      <w:pPr>
        <w:spacing w:line="400" w:lineRule="exact"/>
        <w:ind w:left="105" w:leftChars="50"/>
        <w:contextualSpacing/>
        <w:jc w:val="center"/>
        <w:rPr>
          <w:rFonts w:ascii="宋体" w:hAnsi="宋体" w:cs="仿宋_GB2312"/>
          <w:sz w:val="36"/>
          <w:szCs w:val="36"/>
        </w:rPr>
      </w:pPr>
    </w:p>
    <w:bookmarkEnd w:id="189"/>
    <w:bookmarkEnd w:id="190"/>
    <w:bookmarkEnd w:id="191"/>
    <w:bookmarkEnd w:id="192"/>
    <w:p>
      <w:pPr>
        <w:spacing w:line="400" w:lineRule="exact"/>
        <w:ind w:left="105" w:leftChars="50" w:firstLine="422" w:firstLineChars="200"/>
        <w:contextualSpacing/>
        <w:rPr>
          <w:rFonts w:ascii="宋体" w:hAnsi="宋体"/>
          <w:b/>
          <w:szCs w:val="21"/>
        </w:rPr>
      </w:pPr>
      <w:r>
        <w:rPr>
          <w:rFonts w:hint="eastAsia" w:ascii="宋体" w:hAnsi="宋体"/>
          <w:b/>
          <w:szCs w:val="21"/>
        </w:rPr>
        <w:t>1. 总则</w:t>
      </w:r>
    </w:p>
    <w:p>
      <w:pPr>
        <w:spacing w:line="400" w:lineRule="exact"/>
        <w:ind w:left="105" w:leftChars="50" w:firstLine="420" w:firstLineChars="200"/>
        <w:contextualSpacing/>
        <w:rPr>
          <w:rFonts w:ascii="宋体" w:hAnsi="宋体"/>
          <w:szCs w:val="21"/>
        </w:rPr>
      </w:pPr>
      <w:r>
        <w:rPr>
          <w:rFonts w:hint="eastAsia" w:ascii="宋体" w:hAnsi="宋体"/>
          <w:szCs w:val="21"/>
        </w:rPr>
        <w:t>1.1 根据国家相关法律法规，结合采购项目特点制定本评标办法。</w:t>
      </w:r>
    </w:p>
    <w:p>
      <w:pPr>
        <w:spacing w:line="400" w:lineRule="exact"/>
        <w:ind w:left="105" w:leftChars="50" w:firstLine="420" w:firstLineChars="200"/>
        <w:contextualSpacing/>
        <w:rPr>
          <w:rFonts w:ascii="宋体" w:hAnsi="宋体"/>
          <w:szCs w:val="21"/>
        </w:rPr>
      </w:pPr>
      <w:r>
        <w:rPr>
          <w:rFonts w:hint="eastAsia" w:ascii="宋体" w:hAnsi="宋体"/>
          <w:szCs w:val="21"/>
        </w:rPr>
        <w:t xml:space="preserve">1.2 </w:t>
      </w:r>
      <w:r>
        <w:rPr>
          <w:rFonts w:hint="eastAsia" w:ascii="宋体" w:hAnsi="宋体"/>
          <w:bCs/>
          <w:szCs w:val="21"/>
        </w:rPr>
        <w:t>评标工作由招标人负责组织，具体评标事务由招标人依法组建的评标委员会负责。评标委员会由采购人代表和有关技术、经济等方面的专家组成。</w:t>
      </w:r>
    </w:p>
    <w:p>
      <w:pPr>
        <w:spacing w:line="400" w:lineRule="exact"/>
        <w:ind w:left="105" w:leftChars="50" w:firstLine="420" w:firstLineChars="200"/>
        <w:contextualSpacing/>
        <w:rPr>
          <w:rFonts w:ascii="宋体" w:hAnsi="宋体"/>
          <w:szCs w:val="21"/>
        </w:rPr>
      </w:pPr>
      <w:r>
        <w:rPr>
          <w:rFonts w:hint="eastAsia" w:ascii="宋体" w:hAnsi="宋体"/>
          <w:szCs w:val="21"/>
        </w:rPr>
        <w:t>1.3 评标工作应遵循公平、公正、科学及择优的原则，并以相同的评标程序和标准对待所有的投标人。</w:t>
      </w:r>
    </w:p>
    <w:p>
      <w:pPr>
        <w:spacing w:line="400" w:lineRule="exact"/>
        <w:ind w:left="105" w:leftChars="50" w:firstLine="420" w:firstLineChars="200"/>
        <w:contextualSpacing/>
        <w:rPr>
          <w:rFonts w:ascii="宋体" w:hAnsi="宋体"/>
          <w:szCs w:val="21"/>
        </w:rPr>
      </w:pPr>
      <w:r>
        <w:rPr>
          <w:rFonts w:hint="eastAsia" w:ascii="宋体" w:hAnsi="宋体"/>
          <w:szCs w:val="21"/>
        </w:rPr>
        <w:t>1.4 评标委员会按照招标文件规定的评标方法和标准进行评标，并独立履行下列职责：</w:t>
      </w:r>
    </w:p>
    <w:p>
      <w:pPr>
        <w:spacing w:line="400" w:lineRule="exact"/>
        <w:ind w:left="105" w:leftChars="50" w:firstLine="480"/>
        <w:contextualSpacing/>
        <w:rPr>
          <w:rFonts w:ascii="宋体" w:hAnsi="宋体"/>
          <w:szCs w:val="21"/>
        </w:rPr>
      </w:pPr>
      <w:r>
        <w:rPr>
          <w:rFonts w:hint="eastAsia" w:ascii="宋体" w:hAnsi="宋体"/>
          <w:szCs w:val="21"/>
        </w:rPr>
        <w:t>（1）审查投标文件是否满足招标文件要求，并作出公正评价；</w:t>
      </w:r>
    </w:p>
    <w:p>
      <w:pPr>
        <w:spacing w:line="400" w:lineRule="exact"/>
        <w:ind w:left="105" w:leftChars="50" w:firstLine="480"/>
        <w:contextualSpacing/>
        <w:rPr>
          <w:rFonts w:ascii="宋体" w:hAnsi="宋体"/>
          <w:szCs w:val="21"/>
        </w:rPr>
      </w:pPr>
      <w:r>
        <w:rPr>
          <w:rFonts w:hint="eastAsia" w:ascii="宋体" w:hAnsi="宋体"/>
          <w:szCs w:val="21"/>
        </w:rPr>
        <w:t>（2）根据需要要求投标供应商对投标文件有关事项作出澄清；</w:t>
      </w:r>
    </w:p>
    <w:p>
      <w:pPr>
        <w:spacing w:line="400" w:lineRule="exact"/>
        <w:ind w:left="105" w:leftChars="50" w:firstLine="480"/>
        <w:contextualSpacing/>
        <w:rPr>
          <w:rFonts w:ascii="宋体" w:hAnsi="宋体"/>
          <w:szCs w:val="21"/>
        </w:rPr>
      </w:pPr>
      <w:r>
        <w:rPr>
          <w:rFonts w:hint="eastAsia" w:ascii="宋体" w:hAnsi="宋体"/>
          <w:szCs w:val="21"/>
        </w:rPr>
        <w:t>（3）推荐中标候选供应商名单；</w:t>
      </w:r>
    </w:p>
    <w:p>
      <w:pPr>
        <w:spacing w:line="400" w:lineRule="exact"/>
        <w:ind w:left="105" w:leftChars="50" w:firstLine="480"/>
        <w:contextualSpacing/>
        <w:rPr>
          <w:rFonts w:ascii="宋体" w:hAnsi="宋体"/>
          <w:szCs w:val="21"/>
        </w:rPr>
      </w:pPr>
      <w:r>
        <w:rPr>
          <w:rFonts w:hint="eastAsia" w:ascii="宋体" w:hAnsi="宋体"/>
          <w:szCs w:val="21"/>
        </w:rPr>
        <w:t>（4</w:t>
      </w:r>
      <w:bookmarkStart w:id="193" w:name="_Toc217446098"/>
      <w:r>
        <w:rPr>
          <w:rFonts w:hint="eastAsia" w:ascii="宋体" w:hAnsi="宋体"/>
          <w:szCs w:val="21"/>
        </w:rPr>
        <w:t>）向采购单位主要领导或者其他监督部门报告非法干预评审工作的行为；</w:t>
      </w:r>
    </w:p>
    <w:p>
      <w:pPr>
        <w:spacing w:line="400" w:lineRule="exact"/>
        <w:ind w:left="105" w:leftChars="50" w:firstLine="480"/>
        <w:contextualSpacing/>
        <w:rPr>
          <w:rFonts w:ascii="宋体" w:hAnsi="宋体"/>
          <w:szCs w:val="21"/>
        </w:rPr>
      </w:pPr>
      <w:r>
        <w:rPr>
          <w:rFonts w:hint="eastAsia" w:ascii="宋体" w:hAnsi="宋体"/>
          <w:szCs w:val="21"/>
        </w:rPr>
        <w:t>（5）法律、法规和规章规定的其他职责。</w:t>
      </w:r>
    </w:p>
    <w:p>
      <w:pPr>
        <w:spacing w:line="400" w:lineRule="exact"/>
        <w:ind w:left="105" w:leftChars="50" w:firstLine="420" w:firstLineChars="200"/>
        <w:contextualSpacing/>
        <w:rPr>
          <w:rFonts w:ascii="宋体" w:hAnsi="宋体"/>
          <w:szCs w:val="21"/>
        </w:rPr>
      </w:pPr>
      <w:r>
        <w:rPr>
          <w:rFonts w:hint="eastAsia" w:ascii="宋体" w:hAnsi="宋体"/>
          <w:szCs w:val="21"/>
        </w:rPr>
        <w:t>1.5 评标过程严格保密。投标人对评委会的评标过程或合同授予决定施加影响的任何行为都可能导致其投标被拒绝。</w:t>
      </w:r>
    </w:p>
    <w:p>
      <w:pPr>
        <w:spacing w:line="400" w:lineRule="exact"/>
        <w:ind w:left="105" w:leftChars="50" w:firstLine="420" w:firstLineChars="200"/>
        <w:contextualSpacing/>
        <w:rPr>
          <w:rFonts w:ascii="宋体" w:hAnsi="宋体"/>
          <w:szCs w:val="21"/>
        </w:rPr>
      </w:pPr>
      <w:r>
        <w:rPr>
          <w:rFonts w:hint="eastAsia" w:ascii="宋体" w:hAnsi="宋体"/>
          <w:szCs w:val="21"/>
        </w:rPr>
        <w:t>1.6评委会决定投标文件的响应性依据投标文件本身的内容，而不寻求外部的证据。</w:t>
      </w:r>
    </w:p>
    <w:p>
      <w:pPr>
        <w:spacing w:line="400" w:lineRule="exact"/>
        <w:ind w:left="105" w:leftChars="50" w:firstLine="420" w:firstLineChars="200"/>
        <w:contextualSpacing/>
        <w:rPr>
          <w:rFonts w:ascii="宋体" w:hAnsi="宋体"/>
          <w:szCs w:val="21"/>
        </w:rPr>
      </w:pPr>
      <w:r>
        <w:rPr>
          <w:rFonts w:hint="eastAsia" w:ascii="宋体" w:hAnsi="宋体"/>
          <w:szCs w:val="21"/>
        </w:rPr>
        <w:t>1.7评委会发现招标文件表述不明确或需要说明的事项，可提请招标采购单位相关部门书面解释说明。发现招标文件违反有关法律、法规和规章的，可以拒绝评标，并向招标采购单位书面说明情况。</w:t>
      </w:r>
    </w:p>
    <w:p>
      <w:pPr>
        <w:spacing w:line="400" w:lineRule="exact"/>
        <w:ind w:left="105" w:leftChars="50" w:firstLine="422" w:firstLineChars="200"/>
        <w:contextualSpacing/>
        <w:rPr>
          <w:rFonts w:ascii="宋体" w:hAnsi="宋体"/>
          <w:b/>
          <w:szCs w:val="21"/>
        </w:rPr>
      </w:pPr>
      <w:r>
        <w:rPr>
          <w:rFonts w:hint="eastAsia" w:ascii="宋体" w:hAnsi="宋体"/>
          <w:b/>
          <w:szCs w:val="21"/>
        </w:rPr>
        <w:t>2. 评标方法</w:t>
      </w:r>
    </w:p>
    <w:p>
      <w:pPr>
        <w:spacing w:line="400" w:lineRule="exact"/>
        <w:ind w:left="105" w:leftChars="50" w:firstLine="420" w:firstLineChars="200"/>
        <w:contextualSpacing/>
        <w:rPr>
          <w:rFonts w:ascii="宋体" w:hAnsi="宋体" w:cs="宋体"/>
          <w:kern w:val="0"/>
          <w:szCs w:val="21"/>
        </w:rPr>
      </w:pPr>
      <w:r>
        <w:rPr>
          <w:rFonts w:hint="eastAsia" w:ascii="宋体" w:hAnsi="宋体"/>
          <w:szCs w:val="21"/>
        </w:rPr>
        <w:t>本项目评标方法为</w:t>
      </w:r>
      <w:r>
        <w:rPr>
          <w:rFonts w:hint="eastAsia" w:ascii="宋体" w:hAnsi="宋体" w:cs="宋体"/>
          <w:b/>
          <w:kern w:val="0"/>
          <w:szCs w:val="21"/>
        </w:rPr>
        <w:t>最低价中标法。</w:t>
      </w:r>
      <w:r>
        <w:rPr>
          <w:rFonts w:hint="eastAsia" w:ascii="宋体" w:hAnsi="宋体" w:cs="宋体"/>
          <w:kern w:val="0"/>
          <w:szCs w:val="21"/>
        </w:rPr>
        <w:t>是指投标商家报价在控制价范围内，又能全部响应招标文件的要求及服务内容，价格最低者为</w:t>
      </w:r>
      <w:r>
        <w:rPr>
          <w:rFonts w:hint="eastAsia" w:ascii="宋体" w:hAnsi="宋体"/>
          <w:szCs w:val="21"/>
        </w:rPr>
        <w:t>第一中标候选人（如果投标报价最低者不止一家，需在报价最低者之间进行第二次综合报价，最终</w:t>
      </w:r>
      <w:r>
        <w:rPr>
          <w:rFonts w:hint="eastAsia" w:ascii="宋体" w:hAnsi="宋体" w:cs="宋体"/>
          <w:kern w:val="0"/>
          <w:szCs w:val="21"/>
        </w:rPr>
        <w:t>以提出最低报价的投标人作为中标候选供应商）</w:t>
      </w:r>
      <w:r>
        <w:rPr>
          <w:rFonts w:hint="eastAsia" w:ascii="宋体" w:hAnsi="宋体"/>
          <w:szCs w:val="21"/>
        </w:rPr>
        <w:t>。</w:t>
      </w:r>
    </w:p>
    <w:p>
      <w:pPr>
        <w:spacing w:line="400" w:lineRule="exact"/>
        <w:ind w:left="105" w:leftChars="50" w:firstLine="422" w:firstLineChars="200"/>
        <w:contextualSpacing/>
        <w:rPr>
          <w:rFonts w:ascii="宋体" w:hAnsi="宋体"/>
          <w:b/>
          <w:szCs w:val="21"/>
        </w:rPr>
      </w:pPr>
      <w:r>
        <w:rPr>
          <w:rFonts w:hint="eastAsia" w:ascii="宋体" w:hAnsi="宋体"/>
          <w:b/>
          <w:szCs w:val="21"/>
        </w:rPr>
        <w:t>3．评标程序</w:t>
      </w:r>
    </w:p>
    <w:p>
      <w:pPr>
        <w:spacing w:line="400" w:lineRule="exact"/>
        <w:ind w:left="105" w:leftChars="50" w:firstLine="420" w:firstLineChars="200"/>
        <w:contextualSpacing/>
        <w:rPr>
          <w:rFonts w:ascii="宋体" w:hAnsi="宋体"/>
          <w:szCs w:val="21"/>
        </w:rPr>
      </w:pPr>
      <w:bookmarkStart w:id="194" w:name="_Toc217446099"/>
      <w:r>
        <w:rPr>
          <w:rFonts w:hint="eastAsia" w:ascii="宋体" w:hAnsi="宋体"/>
          <w:szCs w:val="21"/>
        </w:rPr>
        <w:t>3.1投标文件初审。初审分为资格性检查和符合性检查。</w:t>
      </w:r>
    </w:p>
    <w:p>
      <w:pPr>
        <w:spacing w:line="400" w:lineRule="exact"/>
        <w:ind w:left="105" w:leftChars="50" w:firstLine="420" w:firstLineChars="200"/>
        <w:contextualSpacing/>
        <w:rPr>
          <w:rFonts w:ascii="宋体" w:hAnsi="宋体"/>
          <w:szCs w:val="21"/>
        </w:rPr>
      </w:pPr>
      <w:r>
        <w:rPr>
          <w:rFonts w:hint="eastAsia" w:ascii="宋体" w:hAnsi="宋体"/>
          <w:szCs w:val="21"/>
        </w:rPr>
        <w:t>3.1.1资格性检查。依据法律法规和招标文件的规定，对投标文件中的资格证明、投标保证金等进行审查，以确定投标供应商是否具备投标资格。投标人投标文件属于下列情况之一的，在资格性检查时按照无效投标处理：</w:t>
      </w:r>
    </w:p>
    <w:p>
      <w:pPr>
        <w:spacing w:line="400" w:lineRule="exact"/>
        <w:ind w:firstLine="420" w:firstLineChars="200"/>
        <w:rPr>
          <w:rFonts w:ascii="宋体" w:hAnsi="宋体"/>
          <w:szCs w:val="21"/>
        </w:rPr>
      </w:pPr>
      <w:r>
        <w:rPr>
          <w:rFonts w:hint="eastAsia" w:ascii="宋体" w:hAnsi="宋体"/>
          <w:szCs w:val="21"/>
        </w:rPr>
        <w:t>（1）未按照招标文件规定交纳投标保证金的；</w:t>
      </w:r>
    </w:p>
    <w:p>
      <w:pPr>
        <w:spacing w:line="400" w:lineRule="exact"/>
        <w:ind w:firstLine="420" w:firstLineChars="200"/>
        <w:rPr>
          <w:rFonts w:ascii="宋体" w:hAnsi="宋体"/>
          <w:szCs w:val="21"/>
        </w:rPr>
      </w:pPr>
      <w:r>
        <w:rPr>
          <w:rFonts w:hint="eastAsia" w:ascii="宋体" w:hAnsi="宋体"/>
          <w:szCs w:val="21"/>
        </w:rPr>
        <w:t>（2）未按照招标文件规定和要求密封、签署、盖章的；</w:t>
      </w:r>
    </w:p>
    <w:p>
      <w:pPr>
        <w:spacing w:line="400" w:lineRule="exact"/>
        <w:ind w:firstLine="420" w:firstLineChars="200"/>
        <w:rPr>
          <w:rFonts w:ascii="宋体" w:hAnsi="宋体"/>
          <w:szCs w:val="21"/>
        </w:rPr>
      </w:pPr>
      <w:r>
        <w:rPr>
          <w:rFonts w:hint="eastAsia" w:ascii="宋体" w:hAnsi="宋体"/>
          <w:szCs w:val="21"/>
        </w:rPr>
        <w:t>（3）不具备招标文件第四章中规定的要求的；</w:t>
      </w:r>
    </w:p>
    <w:p>
      <w:pPr>
        <w:spacing w:line="400" w:lineRule="exact"/>
        <w:ind w:firstLine="420" w:firstLineChars="200"/>
        <w:rPr>
          <w:rFonts w:ascii="宋体" w:hAnsi="宋体"/>
          <w:szCs w:val="21"/>
        </w:rPr>
      </w:pPr>
      <w:r>
        <w:rPr>
          <w:rFonts w:hint="eastAsia" w:ascii="宋体" w:hAnsi="宋体"/>
          <w:szCs w:val="21"/>
        </w:rPr>
        <w:t>（4）未按照招标文件规定的格式要求编制，且影响投标文件的资格性的；</w:t>
      </w:r>
    </w:p>
    <w:p>
      <w:pPr>
        <w:spacing w:line="400" w:lineRule="exact"/>
        <w:ind w:firstLine="420" w:firstLineChars="200"/>
        <w:rPr>
          <w:rFonts w:ascii="宋体" w:hAnsi="宋体"/>
          <w:szCs w:val="21"/>
        </w:rPr>
      </w:pPr>
      <w:r>
        <w:rPr>
          <w:rFonts w:hint="eastAsia" w:ascii="宋体" w:hAnsi="宋体"/>
          <w:szCs w:val="21"/>
        </w:rPr>
        <w:t>（5）招标文件规定的其他无效投标情形；</w:t>
      </w:r>
    </w:p>
    <w:p>
      <w:pPr>
        <w:spacing w:line="400" w:lineRule="exact"/>
        <w:ind w:left="105" w:leftChars="50" w:firstLine="420" w:firstLineChars="200"/>
        <w:contextualSpacing/>
        <w:rPr>
          <w:rFonts w:ascii="宋体" w:hAnsi="宋体"/>
          <w:szCs w:val="21"/>
        </w:rPr>
      </w:pPr>
      <w:r>
        <w:rPr>
          <w:rFonts w:hint="eastAsia" w:ascii="宋体" w:hAnsi="宋体"/>
          <w:szCs w:val="21"/>
        </w:rPr>
        <w:t>3.1.2符合性检查。依据招标文件的规定，从投标文件的有效性、完整性和对招标文件的响应程度进行审查，以确定是否对招标文件的实质性要求作出响应。投标人投标文件属于下列情况之一的，在符合性检查时按照无效投标处理：</w:t>
      </w:r>
    </w:p>
    <w:p>
      <w:pPr>
        <w:spacing w:line="400" w:lineRule="exact"/>
        <w:ind w:left="105" w:leftChars="50" w:firstLine="420" w:firstLineChars="200"/>
        <w:contextualSpacing/>
        <w:rPr>
          <w:rFonts w:ascii="宋体" w:hAnsi="宋体"/>
          <w:szCs w:val="21"/>
        </w:rPr>
      </w:pPr>
      <w:r>
        <w:rPr>
          <w:rFonts w:hint="eastAsia" w:ascii="宋体" w:hAnsi="宋体"/>
          <w:szCs w:val="21"/>
        </w:rPr>
        <w:t>（1）投标报价不符合招标文件规定的价格标的；</w:t>
      </w:r>
    </w:p>
    <w:p>
      <w:pPr>
        <w:spacing w:line="400" w:lineRule="exact"/>
        <w:ind w:left="105" w:leftChars="50" w:firstLine="420" w:firstLineChars="200"/>
        <w:contextualSpacing/>
        <w:rPr>
          <w:rFonts w:ascii="宋体" w:hAnsi="宋体"/>
          <w:szCs w:val="21"/>
        </w:rPr>
      </w:pPr>
      <w:r>
        <w:rPr>
          <w:rFonts w:hint="eastAsia" w:ascii="宋体" w:hAnsi="宋体"/>
          <w:szCs w:val="21"/>
        </w:rPr>
        <w:t>（2）投标产品的技术规格、技术标准明显不符合招标项目的要求；</w:t>
      </w:r>
    </w:p>
    <w:p>
      <w:pPr>
        <w:spacing w:line="400" w:lineRule="exact"/>
        <w:ind w:left="105" w:leftChars="50" w:firstLine="420" w:firstLineChars="200"/>
        <w:contextualSpacing/>
        <w:rPr>
          <w:rFonts w:ascii="宋体" w:hAnsi="宋体"/>
          <w:szCs w:val="21"/>
        </w:rPr>
      </w:pPr>
      <w:r>
        <w:rPr>
          <w:rFonts w:hint="eastAsia" w:ascii="宋体" w:hAnsi="宋体"/>
          <w:szCs w:val="21"/>
        </w:rPr>
        <w:t>（3）投标产品没有完全符合招标文件第六章的技术、商务和其他要求；</w:t>
      </w:r>
    </w:p>
    <w:p>
      <w:pPr>
        <w:spacing w:line="400" w:lineRule="exact"/>
        <w:ind w:left="105" w:leftChars="50" w:firstLine="420" w:firstLineChars="200"/>
        <w:contextualSpacing/>
        <w:rPr>
          <w:rFonts w:ascii="宋体" w:hAnsi="宋体"/>
          <w:szCs w:val="21"/>
        </w:rPr>
      </w:pPr>
      <w:r>
        <w:rPr>
          <w:rFonts w:hint="eastAsia" w:ascii="宋体" w:hAnsi="宋体"/>
          <w:szCs w:val="21"/>
        </w:rPr>
        <w:t>（4）未载明或者载明的招标项目履约时间、方式、数量及其他采购合同实质性内容与招标文件要求不一致，且招标采购单位无法接受的；</w:t>
      </w:r>
    </w:p>
    <w:p>
      <w:pPr>
        <w:spacing w:line="400" w:lineRule="exact"/>
        <w:ind w:left="105" w:leftChars="50" w:firstLine="420" w:firstLineChars="200"/>
        <w:contextualSpacing/>
        <w:rPr>
          <w:rFonts w:ascii="宋体" w:hAnsi="宋体"/>
          <w:szCs w:val="21"/>
        </w:rPr>
      </w:pPr>
      <w:r>
        <w:rPr>
          <w:rFonts w:hint="eastAsia" w:ascii="宋体" w:hAnsi="宋体"/>
          <w:szCs w:val="21"/>
        </w:rPr>
        <w:t>（5）附有采购人不能接受的条件或者不符合招标文件规定的其他实质性要求。</w:t>
      </w:r>
    </w:p>
    <w:p>
      <w:pPr>
        <w:pStyle w:val="21"/>
        <w:tabs>
          <w:tab w:val="left" w:pos="600"/>
        </w:tabs>
        <w:spacing w:line="400" w:lineRule="exact"/>
        <w:ind w:left="105" w:leftChars="50" w:firstLine="420" w:firstLineChars="200"/>
        <w:contextualSpacing/>
        <w:rPr>
          <w:rFonts w:ascii="宋体" w:hAnsi="宋体"/>
          <w:sz w:val="21"/>
          <w:szCs w:val="21"/>
        </w:rPr>
      </w:pPr>
      <w:r>
        <w:rPr>
          <w:rFonts w:hint="eastAsia" w:ascii="宋体" w:hAnsi="宋体"/>
          <w:sz w:val="21"/>
          <w:szCs w:val="21"/>
        </w:rPr>
        <w:t>3.1.3在投标文件初审过程中，如果出现评标委员会成员意见不一致的情况，按照少数服从多数的原则确定，但不得违背采购法基本原则和招标文件规定。</w:t>
      </w:r>
    </w:p>
    <w:p>
      <w:pPr>
        <w:spacing w:line="400" w:lineRule="exact"/>
        <w:ind w:left="105" w:leftChars="50" w:firstLine="480"/>
        <w:contextualSpacing/>
        <w:rPr>
          <w:rFonts w:ascii="宋体" w:hAnsi="宋体"/>
          <w:szCs w:val="21"/>
        </w:rPr>
      </w:pPr>
      <w:r>
        <w:rPr>
          <w:rFonts w:hint="eastAsia" w:ascii="宋体" w:hAnsi="宋体"/>
          <w:szCs w:val="21"/>
        </w:rPr>
        <w:t>3.2澄清有关问题。</w:t>
      </w:r>
    </w:p>
    <w:p>
      <w:pPr>
        <w:widowControl/>
        <w:snapToGrid w:val="0"/>
        <w:spacing w:line="400" w:lineRule="exact"/>
        <w:ind w:left="105" w:leftChars="50" w:firstLine="416" w:firstLineChars="198"/>
        <w:contextualSpacing/>
        <w:jc w:val="left"/>
        <w:rPr>
          <w:rFonts w:ascii="宋体" w:hAnsi="宋体" w:cs="宋体"/>
          <w:kern w:val="0"/>
          <w:szCs w:val="21"/>
        </w:rPr>
      </w:pPr>
      <w:r>
        <w:rPr>
          <w:rFonts w:hint="eastAsia" w:ascii="宋体" w:hAnsi="宋体"/>
          <w:szCs w:val="21"/>
        </w:rPr>
        <w:t>（1）</w:t>
      </w:r>
      <w:r>
        <w:rPr>
          <w:rFonts w:hint="eastAsia" w:ascii="宋体" w:hAnsi="宋体" w:cs="宋体"/>
          <w:kern w:val="0"/>
          <w:szCs w:val="21"/>
        </w:rPr>
        <w:t>在评标过程中，评标委员会认为招标文件有关事项表述不明确或需要说明的，可以提请招标组织部门解释。招标组织部门应当给予书面解释。招标组织部门的解释不得改变招标文件的原义或者影响公平、公正，解释事项如果涉及供应商权益的，应当以有利于供应商的原则进行解释。</w:t>
      </w:r>
    </w:p>
    <w:p>
      <w:pPr>
        <w:spacing w:line="400" w:lineRule="exact"/>
        <w:ind w:left="105" w:leftChars="50" w:firstLine="480"/>
        <w:contextualSpacing/>
        <w:rPr>
          <w:rFonts w:ascii="宋体" w:hAnsi="宋体"/>
          <w:szCs w:val="21"/>
        </w:rPr>
      </w:pPr>
      <w:r>
        <w:rPr>
          <w:rFonts w:hint="eastAsia" w:ascii="宋体" w:hAnsi="宋体"/>
          <w:szCs w:val="21"/>
        </w:rPr>
        <w:t>（2）对投标文件中含义不明确、同类问题表述不一致或者有明显文字和计算错误的内容，评标委员会可以书面形式（应当由评标委员会专家签字）要求投标人作出必要的书面澄清。投标人应当书面澄清，并加盖公章或签字确认（投标人为法人的，应当由其法定代表人或者代理人签字确认），否则无效。澄清不影响投标文件的效力，有效的澄清材料，是投标文件的组成部分。</w:t>
      </w:r>
    </w:p>
    <w:p>
      <w:pPr>
        <w:spacing w:line="400" w:lineRule="exact"/>
        <w:ind w:left="105" w:leftChars="50" w:firstLine="480"/>
        <w:contextualSpacing/>
        <w:rPr>
          <w:rFonts w:ascii="宋体" w:hAnsi="宋体"/>
          <w:szCs w:val="21"/>
        </w:rPr>
      </w:pPr>
      <w:r>
        <w:rPr>
          <w:rFonts w:hint="eastAsia" w:ascii="宋体" w:hAnsi="宋体"/>
          <w:szCs w:val="21"/>
        </w:rPr>
        <w:t>3.3比较与评价。按招标文件中规定的评标方法和标准，对资格性检查和符合性检查合格的投标文件进行商务和技术评估，比较与评价。</w:t>
      </w:r>
    </w:p>
    <w:p>
      <w:pPr>
        <w:spacing w:line="400" w:lineRule="exact"/>
        <w:ind w:left="105" w:leftChars="50" w:firstLine="480"/>
        <w:contextualSpacing/>
        <w:rPr>
          <w:rFonts w:ascii="宋体" w:hAnsi="宋体"/>
          <w:szCs w:val="21"/>
        </w:rPr>
      </w:pPr>
      <w:r>
        <w:rPr>
          <w:rFonts w:hint="eastAsia" w:ascii="宋体" w:hAnsi="宋体"/>
          <w:szCs w:val="21"/>
        </w:rPr>
        <w:t>3.4推荐中标候选供应商名单。中标候选供应商数量应当根据采购需要确定，但必须按顺序排列中标候选供应商。</w:t>
      </w:r>
    </w:p>
    <w:p>
      <w:pPr>
        <w:spacing w:line="400" w:lineRule="exact"/>
        <w:ind w:left="105" w:leftChars="50" w:firstLine="315" w:firstLineChars="150"/>
        <w:contextualSpacing/>
        <w:rPr>
          <w:rFonts w:ascii="宋体" w:hAnsi="宋体"/>
          <w:szCs w:val="21"/>
        </w:rPr>
      </w:pPr>
      <w:r>
        <w:rPr>
          <w:rFonts w:hint="eastAsia" w:ascii="宋体" w:hAnsi="宋体"/>
          <w:szCs w:val="21"/>
        </w:rPr>
        <w:t xml:space="preserve"> 3.4.1按投标报价由低到高顺序排列。评标委员会认为，排在前面的中标候选供应商的最低投标价或者某些分项报价明显不合理或者低于成本，有可能影响商品质量和不能诚信履约的，应当要求其在规定的期限内提供书面文件予以解释说明，并提交相关证明材料；否则，评标委员会可以取消该投标人的中标候选资格，按顺序由排在后面的中标候选供应商递补，以此类推。</w:t>
      </w:r>
    </w:p>
    <w:p>
      <w:pPr>
        <w:spacing w:line="400" w:lineRule="exact"/>
        <w:ind w:left="105" w:leftChars="50" w:firstLine="480"/>
        <w:contextualSpacing/>
        <w:rPr>
          <w:rFonts w:ascii="宋体" w:hAnsi="宋体"/>
          <w:szCs w:val="21"/>
        </w:rPr>
      </w:pPr>
      <w:r>
        <w:rPr>
          <w:rFonts w:hint="eastAsia" w:ascii="宋体" w:hAnsi="宋体"/>
          <w:szCs w:val="21"/>
        </w:rPr>
        <w:t>3.5编写评标报告。评标报告是评标委员会根据全体评标成员签字的原始评标记录和评标结果编写的报告，其主要内容包括：</w:t>
      </w:r>
    </w:p>
    <w:p>
      <w:pPr>
        <w:spacing w:line="400" w:lineRule="exact"/>
        <w:ind w:left="105" w:leftChars="50" w:firstLine="480"/>
        <w:contextualSpacing/>
        <w:rPr>
          <w:rFonts w:ascii="宋体" w:hAnsi="宋体"/>
          <w:szCs w:val="21"/>
        </w:rPr>
      </w:pPr>
      <w:r>
        <w:rPr>
          <w:rFonts w:hint="eastAsia" w:ascii="宋体" w:hAnsi="宋体"/>
          <w:szCs w:val="21"/>
        </w:rPr>
        <w:t>（1）招标公告明确的开标日期和地点；</w:t>
      </w:r>
    </w:p>
    <w:p>
      <w:pPr>
        <w:spacing w:line="400" w:lineRule="exact"/>
        <w:ind w:left="105" w:leftChars="50" w:firstLine="480"/>
        <w:contextualSpacing/>
        <w:rPr>
          <w:rFonts w:ascii="宋体" w:hAnsi="宋体"/>
          <w:szCs w:val="21"/>
        </w:rPr>
      </w:pPr>
      <w:r>
        <w:rPr>
          <w:rFonts w:hint="eastAsia" w:ascii="宋体" w:hAnsi="宋体"/>
          <w:szCs w:val="21"/>
        </w:rPr>
        <w:t>（2）购买招标文件的投标人名单和评标委员会成员名单；</w:t>
      </w:r>
    </w:p>
    <w:p>
      <w:pPr>
        <w:spacing w:line="400" w:lineRule="exact"/>
        <w:ind w:left="105" w:leftChars="50" w:firstLine="480"/>
        <w:contextualSpacing/>
        <w:rPr>
          <w:rFonts w:ascii="宋体" w:hAnsi="宋体"/>
          <w:szCs w:val="21"/>
        </w:rPr>
      </w:pPr>
      <w:r>
        <w:rPr>
          <w:rFonts w:hint="eastAsia" w:ascii="宋体" w:hAnsi="宋体"/>
          <w:szCs w:val="21"/>
        </w:rPr>
        <w:t>（3）评标方法和标准；</w:t>
      </w:r>
    </w:p>
    <w:p>
      <w:pPr>
        <w:spacing w:line="400" w:lineRule="exact"/>
        <w:ind w:left="105" w:leftChars="50" w:firstLine="480"/>
        <w:contextualSpacing/>
        <w:rPr>
          <w:rFonts w:ascii="宋体" w:hAnsi="宋体"/>
          <w:szCs w:val="21"/>
        </w:rPr>
      </w:pPr>
      <w:r>
        <w:rPr>
          <w:rFonts w:hint="eastAsia" w:ascii="宋体" w:hAnsi="宋体"/>
          <w:szCs w:val="21"/>
        </w:rPr>
        <w:t>（4）开标记录和评标情况及说明，包括投标无效投标人名单及原因；</w:t>
      </w:r>
    </w:p>
    <w:p>
      <w:pPr>
        <w:spacing w:line="400" w:lineRule="exact"/>
        <w:ind w:left="105" w:leftChars="50" w:firstLine="480"/>
        <w:contextualSpacing/>
        <w:rPr>
          <w:rFonts w:ascii="宋体" w:hAnsi="宋体"/>
          <w:szCs w:val="21"/>
        </w:rPr>
      </w:pPr>
      <w:r>
        <w:rPr>
          <w:rFonts w:hint="eastAsia" w:ascii="宋体" w:hAnsi="宋体"/>
          <w:szCs w:val="21"/>
        </w:rPr>
        <w:t>（5）评标结果和中标候选供应商排序表；</w:t>
      </w:r>
    </w:p>
    <w:p>
      <w:pPr>
        <w:spacing w:line="400" w:lineRule="exact"/>
        <w:ind w:left="105" w:leftChars="50" w:firstLine="480"/>
        <w:contextualSpacing/>
        <w:rPr>
          <w:rFonts w:ascii="宋体" w:hAnsi="宋体"/>
          <w:szCs w:val="21"/>
        </w:rPr>
      </w:pPr>
      <w:r>
        <w:rPr>
          <w:rFonts w:hint="eastAsia" w:ascii="宋体" w:hAnsi="宋体"/>
          <w:szCs w:val="21"/>
        </w:rPr>
        <w:t xml:space="preserve">（6）评标委员会的授标建议。 </w:t>
      </w:r>
    </w:p>
    <w:p>
      <w:pPr>
        <w:spacing w:line="400" w:lineRule="exact"/>
        <w:ind w:left="105" w:leftChars="50" w:firstLine="422" w:firstLineChars="200"/>
        <w:contextualSpacing/>
        <w:rPr>
          <w:rFonts w:ascii="宋体" w:hAnsi="宋体"/>
          <w:b/>
          <w:szCs w:val="21"/>
        </w:rPr>
      </w:pPr>
      <w:bookmarkStart w:id="195" w:name="_Toc217446060"/>
      <w:r>
        <w:rPr>
          <w:rFonts w:hint="eastAsia" w:ascii="宋体" w:hAnsi="宋体"/>
          <w:b/>
          <w:szCs w:val="21"/>
        </w:rPr>
        <w:t>4．废 标</w:t>
      </w:r>
    </w:p>
    <w:p>
      <w:pPr>
        <w:spacing w:line="400" w:lineRule="exact"/>
        <w:ind w:left="105" w:leftChars="50" w:firstLine="420" w:firstLineChars="200"/>
        <w:contextualSpacing/>
        <w:rPr>
          <w:rFonts w:ascii="宋体" w:hAnsi="宋体"/>
          <w:szCs w:val="21"/>
        </w:rPr>
      </w:pPr>
      <w:r>
        <w:rPr>
          <w:rFonts w:hint="eastAsia" w:ascii="宋体" w:hAnsi="宋体"/>
          <w:szCs w:val="21"/>
        </w:rPr>
        <w:t>本次采购活动中，出现下列情形之一的，予以废标：</w:t>
      </w:r>
    </w:p>
    <w:p>
      <w:pPr>
        <w:spacing w:line="400" w:lineRule="exact"/>
        <w:ind w:left="105" w:leftChars="50" w:firstLine="420" w:firstLineChars="200"/>
        <w:contextualSpacing/>
        <w:rPr>
          <w:rFonts w:ascii="宋体" w:hAnsi="宋体"/>
          <w:szCs w:val="21"/>
        </w:rPr>
      </w:pPr>
      <w:r>
        <w:rPr>
          <w:rFonts w:hint="eastAsia" w:ascii="宋体" w:hAnsi="宋体"/>
          <w:szCs w:val="21"/>
        </w:rPr>
        <w:t>（1）符合条件的供应商或者对招标文件作实质响应的供应商不足三家的；</w:t>
      </w:r>
    </w:p>
    <w:p>
      <w:pPr>
        <w:spacing w:line="400" w:lineRule="exact"/>
        <w:ind w:left="105" w:leftChars="50" w:firstLine="420" w:firstLineChars="200"/>
        <w:contextualSpacing/>
        <w:rPr>
          <w:rFonts w:ascii="宋体" w:hAnsi="宋体"/>
          <w:szCs w:val="21"/>
        </w:rPr>
      </w:pPr>
      <w:r>
        <w:rPr>
          <w:rFonts w:hint="eastAsia" w:ascii="宋体" w:hAnsi="宋体"/>
          <w:szCs w:val="21"/>
        </w:rPr>
        <w:t>（2）出现影响采购公正的违法、违规行为的；</w:t>
      </w:r>
    </w:p>
    <w:p>
      <w:pPr>
        <w:spacing w:line="400" w:lineRule="exact"/>
        <w:ind w:left="105" w:leftChars="50" w:firstLine="420" w:firstLineChars="200"/>
        <w:contextualSpacing/>
        <w:rPr>
          <w:rFonts w:ascii="宋体" w:hAnsi="宋体"/>
          <w:szCs w:val="21"/>
        </w:rPr>
      </w:pPr>
      <w:r>
        <w:rPr>
          <w:rFonts w:hint="eastAsia" w:ascii="宋体" w:hAnsi="宋体"/>
          <w:szCs w:val="21"/>
        </w:rPr>
        <w:t>（3）投标人的报价均超过了采购预算，采购人不能支付的；</w:t>
      </w:r>
    </w:p>
    <w:p>
      <w:pPr>
        <w:spacing w:line="400" w:lineRule="exact"/>
        <w:ind w:left="105" w:leftChars="50" w:firstLine="420" w:firstLineChars="200"/>
        <w:contextualSpacing/>
        <w:rPr>
          <w:rFonts w:ascii="宋体" w:hAnsi="宋体"/>
          <w:szCs w:val="21"/>
        </w:rPr>
      </w:pPr>
      <w:r>
        <w:rPr>
          <w:rFonts w:hint="eastAsia" w:ascii="宋体" w:hAnsi="宋体"/>
          <w:szCs w:val="21"/>
        </w:rPr>
        <w:t>（4）因重大变故，采购任务取消的。</w:t>
      </w:r>
    </w:p>
    <w:p>
      <w:pPr>
        <w:spacing w:line="400" w:lineRule="exact"/>
        <w:ind w:left="105" w:leftChars="50" w:firstLine="420" w:firstLineChars="200"/>
        <w:contextualSpacing/>
        <w:rPr>
          <w:rFonts w:ascii="宋体" w:hAnsi="宋体"/>
          <w:szCs w:val="21"/>
        </w:rPr>
      </w:pPr>
      <w:r>
        <w:rPr>
          <w:rFonts w:hint="eastAsia" w:ascii="宋体" w:hAnsi="宋体"/>
          <w:szCs w:val="21"/>
        </w:rPr>
        <w:t>废标后，招标人应在达州职业技术学院网上公告，并公告废标的详细理由。</w:t>
      </w:r>
    </w:p>
    <w:p>
      <w:pPr>
        <w:spacing w:line="400" w:lineRule="exact"/>
        <w:ind w:left="105" w:leftChars="50" w:firstLine="422" w:firstLineChars="200"/>
        <w:contextualSpacing/>
        <w:rPr>
          <w:rFonts w:ascii="宋体" w:hAnsi="宋体"/>
          <w:b/>
          <w:szCs w:val="21"/>
        </w:rPr>
      </w:pPr>
      <w:r>
        <w:rPr>
          <w:rFonts w:hint="eastAsia" w:ascii="宋体" w:hAnsi="宋体"/>
          <w:b/>
          <w:szCs w:val="21"/>
        </w:rPr>
        <w:t>5．定标</w:t>
      </w:r>
      <w:bookmarkEnd w:id="195"/>
      <w:bookmarkStart w:id="196" w:name="_Toc217446061"/>
    </w:p>
    <w:p>
      <w:pPr>
        <w:spacing w:line="400" w:lineRule="exact"/>
        <w:ind w:left="105" w:leftChars="50" w:firstLine="420" w:firstLineChars="200"/>
        <w:contextualSpacing/>
        <w:rPr>
          <w:rFonts w:ascii="宋体" w:hAnsi="宋体"/>
          <w:szCs w:val="21"/>
        </w:rPr>
      </w:pPr>
      <w:r>
        <w:rPr>
          <w:rFonts w:hint="eastAsia" w:ascii="宋体" w:hAnsi="宋体"/>
          <w:szCs w:val="21"/>
        </w:rPr>
        <w:t>5.1. 定标原则</w:t>
      </w:r>
      <w:bookmarkEnd w:id="196"/>
      <w:r>
        <w:rPr>
          <w:rFonts w:hint="eastAsia" w:ascii="宋体" w:hAnsi="宋体"/>
          <w:szCs w:val="21"/>
        </w:rPr>
        <w:t>：本项目由评标委员会直接确定中标人。</w:t>
      </w:r>
    </w:p>
    <w:p>
      <w:pPr>
        <w:spacing w:line="400" w:lineRule="exact"/>
        <w:ind w:left="105" w:leftChars="50" w:firstLine="420" w:firstLineChars="200"/>
        <w:contextualSpacing/>
        <w:rPr>
          <w:rFonts w:ascii="宋体" w:hAnsi="宋体"/>
          <w:szCs w:val="21"/>
        </w:rPr>
      </w:pPr>
      <w:bookmarkStart w:id="197" w:name="_Toc217446062"/>
      <w:r>
        <w:rPr>
          <w:rFonts w:hint="eastAsia" w:ascii="宋体" w:hAnsi="宋体"/>
          <w:szCs w:val="21"/>
        </w:rPr>
        <w:t>5.2. 定标程序</w:t>
      </w:r>
      <w:bookmarkEnd w:id="197"/>
    </w:p>
    <w:p>
      <w:pPr>
        <w:spacing w:line="400" w:lineRule="exact"/>
        <w:ind w:left="105" w:leftChars="50" w:firstLine="420" w:firstLineChars="200"/>
        <w:contextualSpacing/>
        <w:rPr>
          <w:rFonts w:ascii="宋体" w:hAnsi="宋体"/>
          <w:szCs w:val="21"/>
        </w:rPr>
      </w:pPr>
      <w:r>
        <w:rPr>
          <w:rFonts w:hint="eastAsia" w:ascii="宋体" w:hAnsi="宋体"/>
          <w:szCs w:val="21"/>
        </w:rPr>
        <w:t>5.2.1 评委会将评标情况写出书面报告，推荐中标候选人。</w:t>
      </w:r>
    </w:p>
    <w:p>
      <w:pPr>
        <w:spacing w:line="400" w:lineRule="exact"/>
        <w:ind w:left="105" w:leftChars="50" w:firstLine="420" w:firstLineChars="200"/>
        <w:contextualSpacing/>
        <w:rPr>
          <w:rFonts w:ascii="宋体" w:hAnsi="宋体"/>
          <w:szCs w:val="21"/>
        </w:rPr>
      </w:pPr>
      <w:r>
        <w:rPr>
          <w:rFonts w:hint="eastAsia" w:ascii="宋体" w:hAnsi="宋体"/>
          <w:szCs w:val="21"/>
        </w:rPr>
        <w:t>5.2.2评委会直接确定中标人后，由达州职业技术学院工会在达州职业技术学院网上公告3个工作日。</w:t>
      </w:r>
    </w:p>
    <w:p>
      <w:pPr>
        <w:spacing w:line="400" w:lineRule="exact"/>
        <w:ind w:left="105" w:leftChars="50" w:firstLine="368" w:firstLineChars="175"/>
        <w:contextualSpacing/>
        <w:rPr>
          <w:rFonts w:ascii="宋体" w:hAnsi="宋体"/>
          <w:szCs w:val="21"/>
        </w:rPr>
      </w:pPr>
      <w:r>
        <w:rPr>
          <w:rFonts w:hint="eastAsia" w:ascii="宋体" w:hAnsi="宋体"/>
          <w:szCs w:val="21"/>
        </w:rPr>
        <w:t>5.2.3中标公示期满无质疑、投诉的，招标人将以书面形式发出《中标通知书》。</w:t>
      </w:r>
    </w:p>
    <w:p>
      <w:pPr>
        <w:spacing w:line="400" w:lineRule="exact"/>
        <w:ind w:left="105" w:leftChars="50" w:firstLine="368" w:firstLineChars="175"/>
        <w:contextualSpacing/>
        <w:rPr>
          <w:rFonts w:ascii="宋体" w:hAnsi="宋体"/>
          <w:szCs w:val="21"/>
        </w:rPr>
      </w:pPr>
      <w:r>
        <w:rPr>
          <w:rFonts w:hint="eastAsia" w:ascii="宋体" w:hAnsi="宋体"/>
          <w:szCs w:val="21"/>
        </w:rPr>
        <w:t>5.2.4招标采购单位不解释中标或落标原因，不退回投标文件和其他投标资料。</w:t>
      </w:r>
    </w:p>
    <w:bookmarkEnd w:id="193"/>
    <w:bookmarkEnd w:id="194"/>
    <w:p>
      <w:pPr>
        <w:spacing w:line="400" w:lineRule="exact"/>
        <w:ind w:left="105" w:leftChars="50" w:firstLine="422" w:firstLineChars="200"/>
        <w:contextualSpacing/>
        <w:rPr>
          <w:rFonts w:ascii="宋体" w:hAnsi="宋体"/>
          <w:b/>
          <w:szCs w:val="21"/>
        </w:rPr>
      </w:pPr>
      <w:bookmarkStart w:id="198" w:name="_Toc208849022"/>
      <w:bookmarkStart w:id="199" w:name="_Toc183582297"/>
      <w:bookmarkStart w:id="200" w:name="_Toc217446105"/>
      <w:bookmarkStart w:id="201" w:name="_Toc183682432"/>
      <w:bookmarkStart w:id="202" w:name="_Toc308164851"/>
      <w:bookmarkStart w:id="203" w:name="_Toc308164968"/>
      <w:r>
        <w:rPr>
          <w:rFonts w:hint="eastAsia" w:ascii="宋体" w:hAnsi="宋体"/>
          <w:b/>
          <w:szCs w:val="21"/>
        </w:rPr>
        <w:t xml:space="preserve">6. </w:t>
      </w:r>
      <w:bookmarkEnd w:id="198"/>
      <w:bookmarkEnd w:id="199"/>
      <w:bookmarkEnd w:id="200"/>
      <w:bookmarkEnd w:id="201"/>
      <w:r>
        <w:rPr>
          <w:rFonts w:hint="eastAsia" w:ascii="宋体" w:hAnsi="宋体"/>
          <w:b/>
          <w:szCs w:val="21"/>
        </w:rPr>
        <w:t>评标专家在采购活动中承担以下义务</w:t>
      </w:r>
    </w:p>
    <w:p>
      <w:pPr>
        <w:widowControl/>
        <w:autoSpaceDE w:val="0"/>
        <w:autoSpaceDN w:val="0"/>
        <w:spacing w:line="400" w:lineRule="exact"/>
        <w:ind w:left="105" w:leftChars="50" w:firstLine="420" w:firstLineChars="200"/>
        <w:contextualSpacing/>
        <w:textAlignment w:val="bottom"/>
        <w:rPr>
          <w:rFonts w:ascii="宋体" w:hAnsi="宋体"/>
          <w:szCs w:val="21"/>
        </w:rPr>
      </w:pPr>
      <w:r>
        <w:rPr>
          <w:rFonts w:hint="eastAsia" w:ascii="宋体" w:hAnsi="宋体"/>
          <w:szCs w:val="21"/>
        </w:rPr>
        <w:t>6.1 遵纪守法，客观、公正、廉洁地履行职责。</w:t>
      </w:r>
    </w:p>
    <w:p>
      <w:pPr>
        <w:widowControl/>
        <w:autoSpaceDE w:val="0"/>
        <w:autoSpaceDN w:val="0"/>
        <w:spacing w:line="400" w:lineRule="exact"/>
        <w:ind w:left="105" w:leftChars="50" w:firstLine="420" w:firstLineChars="200"/>
        <w:contextualSpacing/>
        <w:textAlignment w:val="bottom"/>
        <w:rPr>
          <w:rFonts w:ascii="宋体" w:hAnsi="宋体"/>
          <w:szCs w:val="21"/>
        </w:rPr>
      </w:pPr>
      <w:r>
        <w:rPr>
          <w:rFonts w:hint="eastAsia" w:ascii="宋体" w:hAnsi="宋体"/>
          <w:szCs w:val="21"/>
        </w:rPr>
        <w:t>6.2 按照法律法规和采购文件的规定要求对供应商的资格条件和供应商提供的产品价格、服务等方面严格进行评判，提供科学合理、公平公正的评审意见，参与起草评审报告，并予签字确认。</w:t>
      </w:r>
    </w:p>
    <w:p>
      <w:pPr>
        <w:widowControl/>
        <w:autoSpaceDE w:val="0"/>
        <w:autoSpaceDN w:val="0"/>
        <w:spacing w:line="400" w:lineRule="exact"/>
        <w:ind w:left="105" w:leftChars="50" w:firstLine="420" w:firstLineChars="200"/>
        <w:contextualSpacing/>
        <w:textAlignment w:val="bottom"/>
        <w:rPr>
          <w:rFonts w:ascii="宋体" w:hAnsi="宋体"/>
          <w:szCs w:val="21"/>
        </w:rPr>
      </w:pPr>
      <w:r>
        <w:rPr>
          <w:rFonts w:hint="eastAsia" w:ascii="宋体" w:hAnsi="宋体"/>
          <w:szCs w:val="21"/>
        </w:rPr>
        <w:t>6.3 保守秘密。不得透露采购文件咨询情况，不得泄漏供应商的投标文件及知悉的商业秘密，不得向供应商透露评审情况。</w:t>
      </w:r>
    </w:p>
    <w:p>
      <w:pPr>
        <w:widowControl/>
        <w:autoSpaceDE w:val="0"/>
        <w:autoSpaceDN w:val="0"/>
        <w:spacing w:line="400" w:lineRule="exact"/>
        <w:ind w:left="105" w:leftChars="50" w:firstLine="420" w:firstLineChars="200"/>
        <w:contextualSpacing/>
        <w:textAlignment w:val="bottom"/>
        <w:rPr>
          <w:rFonts w:ascii="宋体" w:hAnsi="宋体"/>
          <w:szCs w:val="21"/>
        </w:rPr>
      </w:pPr>
      <w:r>
        <w:rPr>
          <w:rFonts w:hint="eastAsia" w:ascii="宋体" w:hAnsi="宋体"/>
          <w:szCs w:val="21"/>
        </w:rPr>
        <w:t>6.4 发现供应商在采购活动中有不正当竞争或恶意串通等违规行为，及时向采购评审工作的组织者或监审部门报告并加以制止。</w:t>
      </w:r>
    </w:p>
    <w:p>
      <w:pPr>
        <w:widowControl/>
        <w:autoSpaceDE w:val="0"/>
        <w:autoSpaceDN w:val="0"/>
        <w:spacing w:line="400" w:lineRule="exact"/>
        <w:ind w:left="105" w:leftChars="50" w:firstLine="420" w:firstLineChars="200"/>
        <w:contextualSpacing/>
        <w:textAlignment w:val="bottom"/>
        <w:rPr>
          <w:rFonts w:ascii="宋体" w:hAnsi="宋体"/>
          <w:szCs w:val="21"/>
        </w:rPr>
      </w:pPr>
      <w:r>
        <w:rPr>
          <w:rFonts w:hint="eastAsia" w:ascii="宋体" w:hAnsi="宋体"/>
          <w:szCs w:val="21"/>
        </w:rPr>
        <w:t>发现采购申报部门、组织部门及其工作人员在采购活动中有干预评审、发表倾向性和歧视性言论、受贿或者接受供应商的其他好处及其他违法违规行为，及时向学院监审部门报告。</w:t>
      </w:r>
    </w:p>
    <w:p>
      <w:pPr>
        <w:widowControl/>
        <w:autoSpaceDE w:val="0"/>
        <w:autoSpaceDN w:val="0"/>
        <w:spacing w:line="400" w:lineRule="exact"/>
        <w:ind w:left="105" w:leftChars="50" w:firstLine="420" w:firstLineChars="200"/>
        <w:contextualSpacing/>
        <w:textAlignment w:val="bottom"/>
        <w:rPr>
          <w:rFonts w:ascii="宋体" w:hAnsi="宋体"/>
          <w:szCs w:val="21"/>
        </w:rPr>
      </w:pPr>
      <w:r>
        <w:rPr>
          <w:rFonts w:hint="eastAsia" w:ascii="宋体" w:hAnsi="宋体"/>
          <w:szCs w:val="21"/>
        </w:rPr>
        <w:t>6.5 解答有关方面对采购评审工作中有关问题的询问，配合采购申报部门、组织部门答复供应商质疑及投诉处理工作等事宜。</w:t>
      </w:r>
    </w:p>
    <w:p>
      <w:pPr>
        <w:widowControl/>
        <w:autoSpaceDE w:val="0"/>
        <w:autoSpaceDN w:val="0"/>
        <w:spacing w:line="400" w:lineRule="exact"/>
        <w:ind w:left="105" w:leftChars="50" w:firstLine="420" w:firstLineChars="200"/>
        <w:contextualSpacing/>
        <w:textAlignment w:val="bottom"/>
        <w:rPr>
          <w:rFonts w:ascii="宋体" w:hAnsi="宋体"/>
          <w:szCs w:val="21"/>
        </w:rPr>
      </w:pPr>
      <w:r>
        <w:rPr>
          <w:rFonts w:hint="eastAsia" w:ascii="宋体" w:hAnsi="宋体"/>
          <w:szCs w:val="21"/>
        </w:rPr>
        <w:t>6.6 法律、法规和规章规定的其他义务。</w:t>
      </w:r>
    </w:p>
    <w:p>
      <w:pPr>
        <w:widowControl/>
        <w:autoSpaceDE w:val="0"/>
        <w:autoSpaceDN w:val="0"/>
        <w:spacing w:line="400" w:lineRule="exact"/>
        <w:ind w:left="105" w:leftChars="50" w:firstLine="422" w:firstLineChars="200"/>
        <w:contextualSpacing/>
        <w:textAlignment w:val="bottom"/>
        <w:rPr>
          <w:rFonts w:ascii="宋体" w:hAnsi="宋体"/>
          <w:b/>
          <w:szCs w:val="21"/>
        </w:rPr>
      </w:pPr>
      <w:r>
        <w:rPr>
          <w:rFonts w:hint="eastAsia" w:ascii="宋体" w:hAnsi="宋体"/>
          <w:b/>
          <w:szCs w:val="21"/>
        </w:rPr>
        <w:t>7. 评审专家在采购活动中应当遵守以下工作纪律</w:t>
      </w:r>
    </w:p>
    <w:p>
      <w:pPr>
        <w:widowControl/>
        <w:autoSpaceDE w:val="0"/>
        <w:autoSpaceDN w:val="0"/>
        <w:spacing w:line="400" w:lineRule="exact"/>
        <w:ind w:left="105" w:leftChars="50" w:firstLine="420" w:firstLineChars="200"/>
        <w:contextualSpacing/>
        <w:textAlignment w:val="bottom"/>
        <w:rPr>
          <w:rFonts w:ascii="宋体" w:hAnsi="宋体"/>
          <w:szCs w:val="21"/>
        </w:rPr>
      </w:pPr>
      <w:r>
        <w:rPr>
          <w:rFonts w:hint="eastAsia" w:ascii="宋体" w:hAnsi="宋体"/>
          <w:szCs w:val="21"/>
        </w:rPr>
        <w:t>7.1 应邀按时参加评审和咨询活动。遇特殊情况不能出席或途中遇阻不能按时参加评审或咨询的，应及时告知采购活动组织部门，不得私自转托他人。</w:t>
      </w:r>
    </w:p>
    <w:p>
      <w:pPr>
        <w:widowControl/>
        <w:autoSpaceDE w:val="0"/>
        <w:autoSpaceDN w:val="0"/>
        <w:spacing w:line="400" w:lineRule="exact"/>
        <w:ind w:left="105" w:leftChars="50" w:firstLine="420" w:firstLineChars="200"/>
        <w:contextualSpacing/>
        <w:textAlignment w:val="bottom"/>
        <w:rPr>
          <w:rFonts w:ascii="宋体" w:hAnsi="宋体"/>
          <w:szCs w:val="21"/>
        </w:rPr>
      </w:pPr>
      <w:r>
        <w:rPr>
          <w:rFonts w:hint="eastAsia" w:ascii="宋体" w:hAnsi="宋体"/>
          <w:szCs w:val="21"/>
        </w:rPr>
        <w:t>7.2 不得参加与自己有利害关系的采购项目的评审活动。对与自己有利害关系的评审项目，如受到邀请，应主动提出回避。组织部门、监审部门也可要求该评审专家回避。</w:t>
      </w:r>
    </w:p>
    <w:p>
      <w:pPr>
        <w:widowControl/>
        <w:autoSpaceDE w:val="0"/>
        <w:autoSpaceDN w:val="0"/>
        <w:spacing w:line="400" w:lineRule="exact"/>
        <w:ind w:left="105" w:leftChars="50" w:firstLine="420" w:firstLineChars="200"/>
        <w:contextualSpacing/>
        <w:textAlignment w:val="bottom"/>
        <w:rPr>
          <w:rFonts w:ascii="宋体" w:hAnsi="宋体"/>
          <w:szCs w:val="21"/>
        </w:rPr>
      </w:pPr>
      <w:r>
        <w:rPr>
          <w:rFonts w:hint="eastAsia" w:ascii="宋体" w:hAnsi="宋体"/>
          <w:szCs w:val="21"/>
        </w:rPr>
        <w:t>有利害关系主要是指三年内曾在参加该采购项目供应商中任职(包括一般工作)或担任顾问，配偶或直系亲属在参加该采购项目的供应商中任职或担任顾问，与参加该采购项目供应商发生过法律纠纷，以及其他可能影响公正评审的情况。</w:t>
      </w:r>
    </w:p>
    <w:p>
      <w:pPr>
        <w:widowControl/>
        <w:autoSpaceDE w:val="0"/>
        <w:autoSpaceDN w:val="0"/>
        <w:spacing w:line="400" w:lineRule="exact"/>
        <w:ind w:left="105" w:leftChars="50" w:firstLine="420" w:firstLineChars="200"/>
        <w:contextualSpacing/>
        <w:textAlignment w:val="bottom"/>
        <w:rPr>
          <w:rFonts w:ascii="宋体" w:hAnsi="宋体"/>
          <w:szCs w:val="21"/>
        </w:rPr>
      </w:pPr>
      <w:r>
        <w:rPr>
          <w:rFonts w:hint="eastAsia" w:ascii="宋体" w:hAnsi="宋体"/>
          <w:szCs w:val="21"/>
        </w:rPr>
        <w:t>7.3 评审或咨询过程中关闭通讯设备，不得与外界联系。因发生不可预见情况，确实需要与外界联系的，应当有在场工作人员陪同。</w:t>
      </w:r>
    </w:p>
    <w:p>
      <w:pPr>
        <w:widowControl/>
        <w:autoSpaceDE w:val="0"/>
        <w:autoSpaceDN w:val="0"/>
        <w:spacing w:line="400" w:lineRule="exact"/>
        <w:ind w:left="105" w:leftChars="50" w:firstLine="420" w:firstLineChars="200"/>
        <w:contextualSpacing/>
        <w:textAlignment w:val="bottom"/>
        <w:rPr>
          <w:rFonts w:ascii="宋体" w:hAnsi="宋体"/>
          <w:szCs w:val="21"/>
        </w:rPr>
      </w:pPr>
      <w:r>
        <w:rPr>
          <w:rFonts w:hint="eastAsia" w:ascii="宋体" w:hAnsi="宋体"/>
          <w:szCs w:val="21"/>
        </w:rPr>
        <w:t>7.4 评审过程中，不得发表影响评审公正的倾向性、歧视性言论；不得征询或者接受倾向性意见；不得以任何明示或暗示的方式要求参加该采购项目的供应商以澄清、说明或补正为借口，表达与其原投标文件原意不同的新意见；不得以采购文件没有规定的方法和标准作为评审的依据；不得违反规定的评审格式评分和撰写评审意见；不得拒绝对自己的评审意见签字确认。</w:t>
      </w:r>
    </w:p>
    <w:p>
      <w:pPr>
        <w:widowControl/>
        <w:autoSpaceDE w:val="0"/>
        <w:autoSpaceDN w:val="0"/>
        <w:spacing w:line="400" w:lineRule="exact"/>
        <w:ind w:left="105" w:leftChars="50" w:firstLine="420" w:firstLineChars="200"/>
        <w:contextualSpacing/>
        <w:textAlignment w:val="bottom"/>
        <w:rPr>
          <w:rFonts w:ascii="宋体" w:hAnsi="宋体"/>
          <w:szCs w:val="21"/>
        </w:rPr>
      </w:pPr>
      <w:r>
        <w:rPr>
          <w:rFonts w:hint="eastAsia" w:ascii="宋体" w:hAnsi="宋体"/>
          <w:szCs w:val="21"/>
        </w:rPr>
        <w:t>7.5 在评审工作中，严格执行国家产业政策和产品标准，并对所提出的意见和建议承担个人责任。</w:t>
      </w:r>
    </w:p>
    <w:p>
      <w:pPr>
        <w:widowControl/>
        <w:autoSpaceDE w:val="0"/>
        <w:autoSpaceDN w:val="0"/>
        <w:spacing w:line="400" w:lineRule="exact"/>
        <w:ind w:left="105" w:leftChars="50" w:firstLine="420" w:firstLineChars="200"/>
        <w:contextualSpacing/>
        <w:textAlignment w:val="bottom"/>
        <w:rPr>
          <w:rFonts w:ascii="宋体" w:hAnsi="宋体"/>
          <w:szCs w:val="21"/>
        </w:rPr>
      </w:pPr>
      <w:r>
        <w:rPr>
          <w:rFonts w:hint="eastAsia" w:ascii="宋体" w:hAnsi="宋体"/>
          <w:szCs w:val="21"/>
        </w:rPr>
        <w:t>7.6 有关部门（机构）制定的其他评审工作纪律。</w:t>
      </w:r>
    </w:p>
    <w:p>
      <w:pPr>
        <w:spacing w:line="400" w:lineRule="exact"/>
        <w:ind w:left="105" w:leftChars="50"/>
        <w:contextualSpacing/>
        <w:jc w:val="center"/>
        <w:rPr>
          <w:rFonts w:ascii="黑体" w:hAnsi="黑体" w:eastAsia="黑体"/>
          <w:b/>
          <w:bCs/>
          <w:sz w:val="36"/>
          <w:szCs w:val="36"/>
        </w:rPr>
      </w:pPr>
    </w:p>
    <w:p>
      <w:pPr>
        <w:spacing w:line="400" w:lineRule="exact"/>
        <w:ind w:left="105" w:leftChars="50"/>
        <w:contextualSpacing/>
        <w:jc w:val="center"/>
        <w:rPr>
          <w:rFonts w:ascii="黑体" w:hAnsi="黑体" w:eastAsia="黑体"/>
          <w:b/>
          <w:bCs/>
          <w:sz w:val="36"/>
          <w:szCs w:val="36"/>
        </w:rPr>
      </w:pPr>
      <w:r>
        <w:rPr>
          <w:rFonts w:hint="eastAsia" w:ascii="黑体" w:hAnsi="黑体" w:eastAsia="黑体"/>
          <w:b/>
          <w:bCs/>
          <w:sz w:val="36"/>
          <w:szCs w:val="36"/>
        </w:rPr>
        <w:t>第八章  合同主要条款</w:t>
      </w:r>
      <w:bookmarkEnd w:id="202"/>
      <w:bookmarkEnd w:id="203"/>
    </w:p>
    <w:p>
      <w:pPr>
        <w:spacing w:line="400" w:lineRule="exact"/>
        <w:ind w:left="105" w:leftChars="50" w:firstLine="6300" w:firstLineChars="3000"/>
        <w:contextualSpacing/>
        <w:rPr>
          <w:rFonts w:ascii="宋体" w:hAnsi="宋体"/>
          <w:szCs w:val="21"/>
        </w:rPr>
      </w:pPr>
      <w:r>
        <w:rPr>
          <w:rFonts w:hint="eastAsia" w:ascii="宋体" w:hAnsi="宋体"/>
          <w:szCs w:val="21"/>
        </w:rPr>
        <w:t>合同编号：XXXX。</w:t>
      </w:r>
    </w:p>
    <w:p>
      <w:pPr>
        <w:spacing w:line="400" w:lineRule="exact"/>
        <w:rPr>
          <w:rFonts w:ascii="宋体" w:hAnsi="宋体"/>
          <w:szCs w:val="21"/>
        </w:rPr>
      </w:pPr>
      <w:r>
        <w:rPr>
          <w:rFonts w:hint="eastAsia" w:ascii="宋体" w:hAnsi="宋体"/>
          <w:szCs w:val="21"/>
        </w:rPr>
        <w:t>采购人（甲方）：</w:t>
      </w:r>
    </w:p>
    <w:p>
      <w:pPr>
        <w:spacing w:line="400" w:lineRule="exact"/>
        <w:rPr>
          <w:rFonts w:ascii="宋体" w:hAnsi="宋体"/>
          <w:szCs w:val="21"/>
        </w:rPr>
      </w:pPr>
      <w:r>
        <w:rPr>
          <w:rFonts w:hint="eastAsia" w:ascii="宋体" w:hAnsi="宋体"/>
          <w:szCs w:val="21"/>
        </w:rPr>
        <w:t>供应商（乙方）：</w:t>
      </w:r>
    </w:p>
    <w:p>
      <w:pPr>
        <w:pStyle w:val="173"/>
        <w:ind w:left="105" w:leftChars="50" w:firstLine="420"/>
        <w:contextualSpacing/>
        <w:rPr>
          <w:rFonts w:ascii="宋体" w:hAnsi="宋体"/>
          <w:sz w:val="21"/>
          <w:szCs w:val="21"/>
        </w:rPr>
      </w:pPr>
      <w:r>
        <w:rPr>
          <w:rFonts w:hint="eastAsia" w:ascii="宋体" w:hAnsi="宋体"/>
          <w:sz w:val="21"/>
          <w:szCs w:val="21"/>
        </w:rPr>
        <w:t>根据国家相关法律法规及达州职业技术学院采购项目（项目编号：达职院（公）〔201</w:t>
      </w:r>
      <w:r>
        <w:rPr>
          <w:rFonts w:hint="eastAsia" w:ascii="宋体" w:hAnsi="宋体"/>
          <w:sz w:val="21"/>
          <w:szCs w:val="21"/>
          <w:u w:val="single"/>
        </w:rPr>
        <w:t>7</w:t>
      </w:r>
      <w:r>
        <w:rPr>
          <w:rFonts w:hint="eastAsia" w:ascii="宋体" w:hAnsi="宋体"/>
          <w:sz w:val="21"/>
          <w:szCs w:val="21"/>
        </w:rPr>
        <w:t>〕006号）的《招标文件》、乙方的《投标文件》及《中标通知书》，甲、乙双方同意签订本合同。详细技术说明及其他有关合同项目的特定信息由合同附件予以说明，合同附件及本项目的招标文件、投标文件、《中标通知书》等均为本合同不可分割的部分。双方同意共同遵守如下条款：</w:t>
      </w:r>
      <w:bookmarkStart w:id="204" w:name="_Toc217446107"/>
    </w:p>
    <w:p>
      <w:pPr>
        <w:spacing w:line="400" w:lineRule="exact"/>
        <w:ind w:firstLine="103" w:firstLineChars="49"/>
        <w:rPr>
          <w:rFonts w:ascii="宋体" w:hAnsi="宋体"/>
          <w:b/>
          <w:szCs w:val="21"/>
        </w:rPr>
      </w:pPr>
      <w:r>
        <w:rPr>
          <w:rFonts w:hint="eastAsia" w:ascii="宋体" w:hAnsi="宋体"/>
          <w:b/>
          <w:szCs w:val="21"/>
        </w:rPr>
        <w:t>一、合同货物</w:t>
      </w:r>
      <w:bookmarkEnd w:id="204"/>
      <w:bookmarkStart w:id="205" w:name="_Toc217446108"/>
    </w:p>
    <w:tbl>
      <w:tblPr>
        <w:tblStyle w:val="63"/>
        <w:tblW w:w="96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6"/>
        <w:gridCol w:w="3370"/>
        <w:gridCol w:w="1966"/>
        <w:gridCol w:w="638"/>
        <w:gridCol w:w="705"/>
        <w:gridCol w:w="113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rPr>
                <w:rFonts w:cs="宋体" w:asciiTheme="minorEastAsia" w:hAnsiTheme="minorEastAsia" w:eastAsiaTheme="minorEastAsia"/>
                <w:b/>
                <w:kern w:val="0"/>
                <w:sz w:val="20"/>
              </w:rPr>
            </w:pPr>
            <w:r>
              <w:rPr>
                <w:rFonts w:hint="eastAsia" w:cs="宋体" w:asciiTheme="minorEastAsia" w:hAnsiTheme="minorEastAsia" w:eastAsiaTheme="minorEastAsia"/>
                <w:b/>
                <w:kern w:val="0"/>
                <w:sz w:val="20"/>
              </w:rPr>
              <w:t>序号</w:t>
            </w:r>
          </w:p>
        </w:tc>
        <w:tc>
          <w:tcPr>
            <w:tcW w:w="3370" w:type="dxa"/>
            <w:shd w:val="clear" w:color="auto" w:fill="auto"/>
            <w:vAlign w:val="center"/>
          </w:tcPr>
          <w:p>
            <w:pPr>
              <w:widowControl/>
              <w:jc w:val="center"/>
              <w:rPr>
                <w:rFonts w:cs="宋体" w:asciiTheme="minorEastAsia" w:hAnsiTheme="minorEastAsia" w:eastAsiaTheme="minorEastAsia"/>
                <w:b/>
                <w:kern w:val="0"/>
                <w:sz w:val="20"/>
              </w:rPr>
            </w:pPr>
            <w:r>
              <w:rPr>
                <w:rFonts w:hint="eastAsia" w:cs="宋体" w:asciiTheme="minorEastAsia" w:hAnsiTheme="minorEastAsia" w:eastAsiaTheme="minorEastAsia"/>
                <w:b/>
                <w:kern w:val="0"/>
                <w:sz w:val="20"/>
              </w:rPr>
              <w:t>货物名称</w:t>
            </w:r>
          </w:p>
        </w:tc>
        <w:tc>
          <w:tcPr>
            <w:tcW w:w="1966" w:type="dxa"/>
            <w:shd w:val="clear" w:color="auto" w:fill="auto"/>
            <w:vAlign w:val="center"/>
          </w:tcPr>
          <w:p>
            <w:pPr>
              <w:widowControl/>
              <w:jc w:val="center"/>
              <w:rPr>
                <w:rFonts w:cs="宋体" w:asciiTheme="minorEastAsia" w:hAnsiTheme="minorEastAsia" w:eastAsiaTheme="minorEastAsia"/>
                <w:b/>
                <w:kern w:val="0"/>
                <w:sz w:val="20"/>
              </w:rPr>
            </w:pPr>
            <w:r>
              <w:rPr>
                <w:rFonts w:hint="eastAsia" w:cs="宋体" w:asciiTheme="minorEastAsia" w:hAnsiTheme="minorEastAsia" w:eastAsiaTheme="minorEastAsia"/>
                <w:b/>
                <w:kern w:val="0"/>
                <w:sz w:val="20"/>
              </w:rPr>
              <w:t>规格型号</w:t>
            </w:r>
          </w:p>
        </w:tc>
        <w:tc>
          <w:tcPr>
            <w:tcW w:w="638" w:type="dxa"/>
            <w:shd w:val="clear" w:color="auto" w:fill="auto"/>
            <w:vAlign w:val="center"/>
          </w:tcPr>
          <w:p>
            <w:pPr>
              <w:widowControl/>
              <w:jc w:val="center"/>
              <w:rPr>
                <w:rFonts w:cs="宋体" w:asciiTheme="minorEastAsia" w:hAnsiTheme="minorEastAsia" w:eastAsiaTheme="minorEastAsia"/>
                <w:b/>
                <w:kern w:val="0"/>
                <w:sz w:val="20"/>
              </w:rPr>
            </w:pPr>
            <w:r>
              <w:rPr>
                <w:rFonts w:hint="eastAsia" w:cs="宋体" w:asciiTheme="minorEastAsia" w:hAnsiTheme="minorEastAsia" w:eastAsiaTheme="minorEastAsia"/>
                <w:b/>
                <w:kern w:val="0"/>
                <w:sz w:val="20"/>
              </w:rPr>
              <w:t>单位</w:t>
            </w:r>
          </w:p>
        </w:tc>
        <w:tc>
          <w:tcPr>
            <w:tcW w:w="705" w:type="dxa"/>
            <w:shd w:val="clear" w:color="auto" w:fill="auto"/>
            <w:vAlign w:val="center"/>
          </w:tcPr>
          <w:p>
            <w:pPr>
              <w:widowControl/>
              <w:jc w:val="center"/>
              <w:rPr>
                <w:rFonts w:cs="宋体" w:asciiTheme="minorEastAsia" w:hAnsiTheme="minorEastAsia" w:eastAsiaTheme="minorEastAsia"/>
                <w:b/>
                <w:kern w:val="0"/>
                <w:sz w:val="20"/>
              </w:rPr>
            </w:pPr>
            <w:r>
              <w:rPr>
                <w:rFonts w:hint="eastAsia" w:cs="宋体" w:asciiTheme="minorEastAsia" w:hAnsiTheme="minorEastAsia" w:eastAsiaTheme="minorEastAsia"/>
                <w:b/>
                <w:kern w:val="0"/>
                <w:sz w:val="20"/>
              </w:rPr>
              <w:t>数量</w:t>
            </w:r>
          </w:p>
        </w:tc>
        <w:tc>
          <w:tcPr>
            <w:tcW w:w="1136" w:type="dxa"/>
            <w:shd w:val="clear" w:color="auto" w:fill="auto"/>
            <w:vAlign w:val="center"/>
          </w:tcPr>
          <w:p>
            <w:pPr>
              <w:widowControl/>
              <w:jc w:val="center"/>
              <w:rPr>
                <w:rFonts w:cs="宋体" w:asciiTheme="minorEastAsia" w:hAnsiTheme="minorEastAsia" w:eastAsiaTheme="minorEastAsia"/>
                <w:b/>
                <w:kern w:val="0"/>
                <w:sz w:val="20"/>
              </w:rPr>
            </w:pPr>
            <w:r>
              <w:rPr>
                <w:rFonts w:hint="eastAsia" w:cs="宋体" w:asciiTheme="minorEastAsia" w:hAnsiTheme="minorEastAsia" w:eastAsiaTheme="minorEastAsia"/>
                <w:b/>
                <w:kern w:val="0"/>
                <w:sz w:val="20"/>
              </w:rPr>
              <w:t xml:space="preserve">投标单价（元） </w:t>
            </w:r>
          </w:p>
        </w:tc>
        <w:tc>
          <w:tcPr>
            <w:tcW w:w="1276" w:type="dxa"/>
            <w:shd w:val="clear" w:color="auto" w:fill="auto"/>
            <w:vAlign w:val="center"/>
          </w:tcPr>
          <w:p>
            <w:pPr>
              <w:widowControl/>
              <w:jc w:val="center"/>
              <w:rPr>
                <w:rFonts w:cs="宋体" w:asciiTheme="minorEastAsia" w:hAnsiTheme="minorEastAsia" w:eastAsiaTheme="minorEastAsia"/>
                <w:b/>
                <w:kern w:val="0"/>
                <w:sz w:val="20"/>
              </w:rPr>
            </w:pPr>
            <w:r>
              <w:rPr>
                <w:rFonts w:hint="eastAsia" w:cs="宋体" w:asciiTheme="minorEastAsia" w:hAnsiTheme="minorEastAsia" w:eastAsiaTheme="minorEastAsia"/>
                <w:b/>
                <w:kern w:val="0"/>
                <w:sz w:val="20"/>
              </w:rPr>
              <w:t>投标总价（元）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3370"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90</w:t>
            </w:r>
            <w:r>
              <w:rPr>
                <w:rFonts w:hint="eastAsia" w:asciiTheme="minorEastAsia" w:hAnsiTheme="minorEastAsia" w:eastAsiaTheme="minorEastAsia"/>
                <w:kern w:val="0"/>
                <w:sz w:val="20"/>
              </w:rPr>
              <w:t>°机夹硬质合金可转位外圆车刀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90W25-T3K16</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6</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配用刀片（</w:t>
            </w:r>
            <w:r>
              <w:rPr>
                <w:rFonts w:asciiTheme="minorEastAsia" w:hAnsiTheme="minorEastAsia" w:eastAsiaTheme="minorEastAsia"/>
                <w:kern w:val="0"/>
                <w:sz w:val="20"/>
              </w:rPr>
              <w:t>P YT15</w:t>
            </w:r>
            <w:r>
              <w:rPr>
                <w:rFonts w:hint="eastAsia" w:cs="宋体" w:asciiTheme="minorEastAsia" w:hAnsiTheme="minorEastAsia" w:eastAsiaTheme="minorEastAsia"/>
                <w:kern w:val="0"/>
                <w:sz w:val="20"/>
              </w:rPr>
              <w:t>）</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T31605F</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锋钢刀条</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14×14×200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30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w:t>
            </w:r>
          </w:p>
        </w:tc>
        <w:tc>
          <w:tcPr>
            <w:tcW w:w="3370"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45</w:t>
            </w:r>
            <w:r>
              <w:rPr>
                <w:rFonts w:hint="eastAsia" w:asciiTheme="minorEastAsia" w:hAnsiTheme="minorEastAsia" w:eastAsiaTheme="minorEastAsia"/>
                <w:kern w:val="0"/>
                <w:sz w:val="20"/>
              </w:rPr>
              <w:t>°机夹车刀配用刀片</w:t>
            </w:r>
            <w:r>
              <w:rPr>
                <w:rFonts w:asciiTheme="minorEastAsia" w:hAnsiTheme="minorEastAsia" w:eastAsiaTheme="minorEastAsia"/>
                <w:kern w:val="0"/>
                <w:sz w:val="20"/>
              </w:rPr>
              <w:t> </w:t>
            </w:r>
            <w:r>
              <w:rPr>
                <w:rFonts w:hint="eastAsia" w:asciiTheme="minorEastAsia" w:hAnsiTheme="minorEastAsia" w:eastAsiaTheme="minorEastAsia"/>
                <w:kern w:val="0"/>
                <w:sz w:val="20"/>
              </w:rPr>
              <w:t>（</w:t>
            </w:r>
            <w:r>
              <w:rPr>
                <w:rFonts w:asciiTheme="minorEastAsia" w:hAnsiTheme="minorEastAsia" w:eastAsiaTheme="minorEastAsia"/>
                <w:kern w:val="0"/>
                <w:sz w:val="20"/>
              </w:rPr>
              <w:t>P YT15</w:t>
            </w:r>
            <w:r>
              <w:rPr>
                <w:rFonts w:hint="eastAsia" w:asciiTheme="minorEastAsia" w:hAnsiTheme="minorEastAsia" w:eastAsiaTheme="minorEastAsia"/>
                <w:kern w:val="0"/>
                <w:sz w:val="20"/>
              </w:rPr>
              <w:t>）</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41605F</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机夹硬质合金可转位外螺纹车刀配用刀片</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M608</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机夹硬质合金可转位外螺纹车刀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L25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6</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机夹内孔切槽车刀</w:t>
            </w:r>
            <w:r>
              <w:rPr>
                <w:rFonts w:asciiTheme="minorEastAsia" w:hAnsiTheme="minorEastAsia" w:eastAsiaTheme="minorEastAsia"/>
                <w:kern w:val="0"/>
                <w:sz w:val="20"/>
              </w:rPr>
              <w:t>(</w:t>
            </w:r>
            <w:r>
              <w:rPr>
                <w:rFonts w:hint="eastAsia" w:cs="宋体" w:asciiTheme="minorEastAsia" w:hAnsiTheme="minorEastAsia" w:eastAsiaTheme="minorEastAsia"/>
                <w:kern w:val="0"/>
                <w:sz w:val="20"/>
              </w:rPr>
              <w:t>套装刀盒</w:t>
            </w:r>
            <w:r>
              <w:rPr>
                <w:rFonts w:asciiTheme="minorEastAsia" w:hAnsiTheme="minorEastAsia" w:eastAsiaTheme="minorEastAsia"/>
                <w:kern w:val="0"/>
                <w:sz w:val="20"/>
              </w:rPr>
              <w:t>)</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N1</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配用刀片</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N101-1</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配用刀片</w:t>
            </w:r>
            <w:r>
              <w:rPr>
                <w:rFonts w:asciiTheme="minorEastAsia" w:hAnsiTheme="minorEastAsia" w:eastAsiaTheme="minorEastAsia"/>
                <w:kern w:val="0"/>
                <w:sz w:val="20"/>
              </w:rPr>
              <w:t>(P YT15)</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T31005FL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锋钢切刀片</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4×16×200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机油壶</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300ml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圆棒料</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45# φ</w:t>
            </w:r>
            <w:r>
              <w:rPr>
                <w:rFonts w:asciiTheme="minorEastAsia" w:hAnsiTheme="minorEastAsia" w:eastAsiaTheme="minorEastAsia"/>
                <w:kern w:val="0"/>
                <w:sz w:val="20"/>
              </w:rPr>
              <w:t>25</w:t>
            </w:r>
            <w:r>
              <w:rPr>
                <w:rFonts w:hint="eastAsia" w:cs="宋体" w:asciiTheme="minorEastAsia" w:hAnsiTheme="minorEastAsia" w:eastAsiaTheme="minorEastAsia"/>
                <w:kern w:val="0"/>
                <w:sz w:val="20"/>
              </w:rPr>
              <w:t>×</w:t>
            </w:r>
            <w:r>
              <w:rPr>
                <w:rFonts w:asciiTheme="minorEastAsia" w:hAnsiTheme="minorEastAsia" w:eastAsiaTheme="minorEastAsia"/>
                <w:kern w:val="0"/>
                <w:sz w:val="20"/>
              </w:rPr>
              <w:t>6000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30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螺纹环规</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M38</w:t>
            </w:r>
            <w:r>
              <w:rPr>
                <w:rFonts w:hint="eastAsia" w:asciiTheme="minorEastAsia" w:hAnsiTheme="minorEastAsia" w:eastAsiaTheme="minorEastAsia"/>
                <w:kern w:val="0"/>
                <w:sz w:val="20"/>
              </w:rPr>
              <w:t>×</w:t>
            </w:r>
            <w:r>
              <w:rPr>
                <w:rFonts w:asciiTheme="minorEastAsia" w:hAnsiTheme="minorEastAsia" w:eastAsiaTheme="minorEastAsia"/>
                <w:kern w:val="0"/>
                <w:sz w:val="20"/>
              </w:rPr>
              <w:t>1.5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付</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螺纹环规</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M20</w:t>
            </w:r>
            <w:r>
              <w:rPr>
                <w:rFonts w:hint="eastAsia" w:asciiTheme="minorEastAsia" w:hAnsiTheme="minorEastAsia" w:eastAsiaTheme="minorEastAsia"/>
                <w:kern w:val="0"/>
                <w:sz w:val="20"/>
              </w:rPr>
              <w:t>×</w:t>
            </w:r>
            <w:r>
              <w:rPr>
                <w:rFonts w:asciiTheme="minorEastAsia" w:hAnsiTheme="minorEastAsia" w:eastAsiaTheme="minorEastAsia"/>
                <w:kern w:val="0"/>
                <w:sz w:val="20"/>
              </w:rPr>
              <w:t>1.5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付</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麻花钻</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w:t>
            </w:r>
            <w:r>
              <w:rPr>
                <w:rFonts w:asciiTheme="minorEastAsia" w:hAnsiTheme="minorEastAsia" w:eastAsiaTheme="minorEastAsia"/>
                <w:kern w:val="0"/>
                <w:sz w:val="20"/>
              </w:rPr>
              <w:t>12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支</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麻花钻</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w:t>
            </w:r>
            <w:r>
              <w:rPr>
                <w:rFonts w:asciiTheme="minorEastAsia" w:hAnsiTheme="minorEastAsia" w:eastAsiaTheme="minorEastAsia"/>
                <w:kern w:val="0"/>
                <w:sz w:val="20"/>
              </w:rPr>
              <w:t>24</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支</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急停旋钮</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XB2BS542C</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棒料 </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w:t>
            </w:r>
            <w:r>
              <w:rPr>
                <w:rFonts w:hint="eastAsia" w:asciiTheme="minorEastAsia" w:hAnsiTheme="minorEastAsia" w:eastAsiaTheme="minorEastAsia"/>
                <w:kern w:val="0"/>
                <w:sz w:val="20"/>
              </w:rPr>
              <w:t> </w:t>
            </w:r>
            <w:r>
              <w:rPr>
                <w:rFonts w:asciiTheme="minorEastAsia" w:hAnsiTheme="minorEastAsia" w:eastAsiaTheme="minorEastAsia"/>
                <w:kern w:val="0"/>
                <w:sz w:val="20"/>
              </w:rPr>
              <w:t>Φ25×9000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尖嘴钳</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6</w:t>
            </w:r>
            <w:r>
              <w:rPr>
                <w:rFonts w:hint="eastAsia" w:asciiTheme="minorEastAsia" w:hAnsiTheme="minorEastAsia" w:eastAsiaTheme="minorEastAsia"/>
                <w:kern w:val="0"/>
                <w:sz w:val="20"/>
              </w:rPr>
              <w:t>寸</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电工刀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BK305001</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圆棒料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 Φ30×9000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铁皮工具箱</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450×200×150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Q235 155×40×5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w:t>
            </w:r>
            <w:r>
              <w:rPr>
                <w:rFonts w:hint="eastAsia" w:asciiTheme="minorEastAsia" w:hAnsiTheme="minorEastAsia" w:eastAsiaTheme="minorEastAsia"/>
                <w:kern w:val="0"/>
                <w:sz w:val="20"/>
              </w:rPr>
              <w:t xml:space="preserve"> </w:t>
            </w:r>
            <w:r>
              <w:rPr>
                <w:rFonts w:asciiTheme="minorEastAsia" w:hAnsiTheme="minorEastAsia" w:eastAsiaTheme="minorEastAsia"/>
                <w:kern w:val="0"/>
                <w:sz w:val="20"/>
              </w:rPr>
              <w:t>300×300×25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45号钢棒料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45#  φ45×6000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45号钢棒料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45#  φ50×6000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YT15外圆车刀片</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T31305F</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螺纹刀片</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16ER</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硬质合金球头立铣刀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R2×4×8×50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硬质合金球头立铣刀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R3×6×12×50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硬质合金球头立铣刀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R4×8×16×60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硬质合金直柄立铣刀（</w:t>
            </w:r>
            <w:r>
              <w:rPr>
                <w:rFonts w:asciiTheme="minorEastAsia" w:hAnsiTheme="minorEastAsia" w:eastAsiaTheme="minorEastAsia"/>
                <w:kern w:val="0"/>
                <w:sz w:val="20"/>
              </w:rPr>
              <w:t>3</w:t>
            </w:r>
            <w:r>
              <w:rPr>
                <w:rFonts w:hint="eastAsia" w:cs="宋体" w:asciiTheme="minorEastAsia" w:hAnsiTheme="minorEastAsia" w:eastAsiaTheme="minorEastAsia"/>
                <w:kern w:val="0"/>
                <w:sz w:val="20"/>
              </w:rPr>
              <w:t>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8×8×20×60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硬质合金直柄立铣刀（</w:t>
            </w:r>
            <w:r>
              <w:rPr>
                <w:rFonts w:asciiTheme="minorEastAsia" w:hAnsiTheme="minorEastAsia" w:eastAsiaTheme="minorEastAsia"/>
                <w:kern w:val="0"/>
                <w:sz w:val="20"/>
              </w:rPr>
              <w:t>3</w:t>
            </w:r>
            <w:r>
              <w:rPr>
                <w:rFonts w:hint="eastAsia" w:cs="宋体" w:asciiTheme="minorEastAsia" w:hAnsiTheme="minorEastAsia" w:eastAsiaTheme="minorEastAsia"/>
                <w:kern w:val="0"/>
                <w:sz w:val="20"/>
              </w:rPr>
              <w:t>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10×10×25×75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硬质合金直柄立铣刀（</w:t>
            </w:r>
            <w:r>
              <w:rPr>
                <w:rFonts w:asciiTheme="minorEastAsia" w:hAnsiTheme="minorEastAsia" w:eastAsiaTheme="minorEastAsia"/>
                <w:kern w:val="0"/>
                <w:sz w:val="20"/>
              </w:rPr>
              <w:t>3</w:t>
            </w:r>
            <w:r>
              <w:rPr>
                <w:rFonts w:hint="eastAsia" w:cs="宋体" w:asciiTheme="minorEastAsia" w:hAnsiTheme="minorEastAsia" w:eastAsiaTheme="minorEastAsia"/>
                <w:kern w:val="0"/>
                <w:sz w:val="20"/>
              </w:rPr>
              <w:t>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12×12×30×75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硬质合金球头立铣刀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R5×10×20×75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圆棒料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 Φ12×9000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线插板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10A  3M  8</w:t>
            </w:r>
            <w:r>
              <w:rPr>
                <w:rFonts w:hint="eastAsia" w:asciiTheme="minorEastAsia" w:hAnsiTheme="minorEastAsia" w:eastAsiaTheme="minorEastAsia"/>
                <w:kern w:val="0"/>
                <w:sz w:val="20"/>
              </w:rPr>
              <w:t>插位</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钢直尺</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150mm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研磨砂</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180目/125g</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盒</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划针</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双头</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支</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粗平锉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12寸粗齿（300mm）</w:t>
            </w:r>
          </w:p>
        </w:tc>
        <w:tc>
          <w:tcPr>
            <w:tcW w:w="638" w:type="dxa"/>
            <w:shd w:val="clear" w:color="auto" w:fill="auto"/>
            <w:vAlign w:val="center"/>
          </w:tcPr>
          <w:p>
            <w:pPr>
              <w:widowControl/>
              <w:jc w:val="center"/>
              <w:rPr>
                <w:rFonts w:cs="宋体" w:asciiTheme="minorEastAsia" w:hAnsiTheme="minorEastAsia" w:eastAsiaTheme="minorEastAsia"/>
                <w:kern w:val="0"/>
                <w:sz w:val="16"/>
                <w:szCs w:val="16"/>
              </w:rPr>
            </w:pPr>
            <w:r>
              <w:rPr>
                <w:rFonts w:hint="eastAsia" w:cs="宋体" w:asciiTheme="minorEastAsia" w:hAnsiTheme="minorEastAsia" w:eastAsiaTheme="minorEastAsia"/>
                <w:kern w:val="0"/>
                <w:sz w:val="16"/>
                <w:szCs w:val="16"/>
              </w:rPr>
              <w:t>盒（5支装）</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细平锉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12寸细齿（300mm）</w:t>
            </w:r>
          </w:p>
        </w:tc>
        <w:tc>
          <w:tcPr>
            <w:tcW w:w="638" w:type="dxa"/>
            <w:shd w:val="clear" w:color="auto" w:fill="auto"/>
            <w:vAlign w:val="center"/>
          </w:tcPr>
          <w:p>
            <w:pPr>
              <w:widowControl/>
              <w:jc w:val="center"/>
              <w:rPr>
                <w:rFonts w:cs="宋体" w:asciiTheme="minorEastAsia" w:hAnsiTheme="minorEastAsia" w:eastAsiaTheme="minorEastAsia"/>
                <w:kern w:val="0"/>
                <w:sz w:val="16"/>
                <w:szCs w:val="16"/>
              </w:rPr>
            </w:pPr>
            <w:r>
              <w:rPr>
                <w:rFonts w:hint="eastAsia" w:cs="宋体" w:asciiTheme="minorEastAsia" w:hAnsiTheme="minorEastAsia" w:eastAsiaTheme="minorEastAsia"/>
                <w:kern w:val="0"/>
                <w:sz w:val="16"/>
                <w:szCs w:val="16"/>
              </w:rPr>
              <w:t>盒（5支装）</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细圆锉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8寸细齿（200mm）</w:t>
            </w:r>
          </w:p>
        </w:tc>
        <w:tc>
          <w:tcPr>
            <w:tcW w:w="638" w:type="dxa"/>
            <w:shd w:val="clear" w:color="auto" w:fill="auto"/>
            <w:vAlign w:val="center"/>
          </w:tcPr>
          <w:p>
            <w:pPr>
              <w:widowControl/>
              <w:jc w:val="center"/>
              <w:rPr>
                <w:rFonts w:cs="宋体" w:asciiTheme="minorEastAsia" w:hAnsiTheme="minorEastAsia" w:eastAsiaTheme="minorEastAsia"/>
                <w:kern w:val="0"/>
                <w:sz w:val="16"/>
                <w:szCs w:val="16"/>
              </w:rPr>
            </w:pPr>
            <w:r>
              <w:rPr>
                <w:rFonts w:hint="eastAsia" w:cs="宋体" w:asciiTheme="minorEastAsia" w:hAnsiTheme="minorEastAsia" w:eastAsiaTheme="minorEastAsia"/>
                <w:kern w:val="0"/>
                <w:sz w:val="16"/>
                <w:szCs w:val="16"/>
              </w:rPr>
              <w:t>盒（5支装）</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细方锉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8寸细齿（200mm）</w:t>
            </w:r>
          </w:p>
        </w:tc>
        <w:tc>
          <w:tcPr>
            <w:tcW w:w="638" w:type="dxa"/>
            <w:shd w:val="clear" w:color="auto" w:fill="auto"/>
            <w:vAlign w:val="center"/>
          </w:tcPr>
          <w:p>
            <w:pPr>
              <w:widowControl/>
              <w:jc w:val="center"/>
              <w:rPr>
                <w:rFonts w:cs="宋体" w:asciiTheme="minorEastAsia" w:hAnsiTheme="minorEastAsia" w:eastAsiaTheme="minorEastAsia"/>
                <w:kern w:val="0"/>
                <w:sz w:val="16"/>
                <w:szCs w:val="16"/>
              </w:rPr>
            </w:pPr>
            <w:r>
              <w:rPr>
                <w:rFonts w:hint="eastAsia" w:cs="宋体" w:asciiTheme="minorEastAsia" w:hAnsiTheme="minorEastAsia" w:eastAsiaTheme="minorEastAsia"/>
                <w:kern w:val="0"/>
                <w:sz w:val="16"/>
                <w:szCs w:val="16"/>
              </w:rPr>
              <w:t>盒（5支装）</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扁錾</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10mm刃口</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什锦锉</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4×160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焊锡丝</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0.8mm 63A 450g</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圈</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行程开关</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JW2A-11H/L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塑胶盆</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毛刷</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4ˊ</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美工刀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40113</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铜棒</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φ40×700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锯弓</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300mm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钢丝刷</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250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钢板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105×50×20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140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端铣刀盘</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DG125-16</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配用刀片</w:t>
            </w:r>
            <w:r>
              <w:rPr>
                <w:rFonts w:asciiTheme="minorEastAsia" w:hAnsiTheme="minorEastAsia" w:eastAsiaTheme="minorEastAsia"/>
                <w:kern w:val="0"/>
                <w:sz w:val="20"/>
              </w:rPr>
              <w:t>YT14</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4160511</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螺旋圆柱铣刀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50×22×45×6</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铝合金棒</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φ50×2000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铝合金块</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100×100×50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可转位三面刃铣刀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125×32×20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螺旋周铣刀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80×32×63×10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铝合金块</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150×100×50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超硬直柄立铣刀（3齿）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8×8×22×60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超硬直柄立铣刀（3齿）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8×8×19×63</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超硬直柄立铣刀（3齿）</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10×10×22×72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直柄键槽铣刀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φ8</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直柄键槽铣刀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φ10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直柄键槽铣刀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φ12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微小径铣刀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φ1</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微小径铣刀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球头铣刀</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数控铣弹簧夹头ER40</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φ16</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PCB万用板</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9*15CM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电阻</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1kΩ</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电阻</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50Ω</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电阻</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220Ω</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电容</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30pF</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电解电容</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10uF</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稳压二极管</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3.3V</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发光二极管</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F5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晶振</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12MHz</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按键开关</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6*6*5MM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七段数码管</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共阴极</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锁紧座</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DIP-40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蜂鸣器</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DC3~24V</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反相器</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74LS05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电池盒</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4节装  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稳压管</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LM7085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电池</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1.5V</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节</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解码器</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74LS48</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LED</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红、绿、黄</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无酸助焊剂</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8s005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盒</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彩色杜邦线</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10P 7色</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铝芯线</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BLV2.5平方绿色</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圈</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铝芯线</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BLV2.5平方黄色</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圈</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灯泡</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螺口  220V40w</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60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三相四孔插座、插头</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380v</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副</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保险管</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RT23 aM1 gG4A</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保险管</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RT23 aM1 gG2A</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保险管</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RT23 aM1 gG1A</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急停开关</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LA42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急停开关</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IEC947</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 50×50×5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400</w:t>
            </w:r>
          </w:p>
        </w:tc>
        <w:tc>
          <w:tcPr>
            <w:tcW w:w="1136" w:type="dxa"/>
            <w:shd w:val="clear" w:color="auto" w:fill="auto"/>
            <w:vAlign w:val="center"/>
          </w:tcPr>
          <w:p>
            <w:pPr>
              <w:widowControl/>
              <w:jc w:val="center"/>
              <w:rPr>
                <w:rFonts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直柄扩孔钻</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φ9.8</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支</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机油</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15#</w:t>
            </w:r>
            <w:r>
              <w:rPr>
                <w:rFonts w:hint="eastAsia" w:asciiTheme="minorEastAsia" w:hAnsiTheme="minorEastAsia" w:eastAsiaTheme="minorEastAsia"/>
                <w:kern w:val="0"/>
                <w:sz w:val="20"/>
              </w:rPr>
              <w:t>（</w:t>
            </w:r>
            <w:r>
              <w:rPr>
                <w:rFonts w:asciiTheme="minorEastAsia" w:hAnsiTheme="minorEastAsia" w:eastAsiaTheme="minorEastAsia"/>
                <w:kern w:val="0"/>
                <w:sz w:val="20"/>
              </w:rPr>
              <w:t>200L/</w:t>
            </w:r>
            <w:r>
              <w:rPr>
                <w:rFonts w:hint="eastAsia" w:asciiTheme="minorEastAsia" w:hAnsiTheme="minorEastAsia" w:eastAsiaTheme="minorEastAsia"/>
                <w:kern w:val="0"/>
                <w:sz w:val="20"/>
              </w:rPr>
              <w:t>桶）</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桶</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丝锥</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M12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支</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M12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支</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塑封纸（厚）</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A4</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包</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内六角螺钉</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M6×15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活动扳手</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300×36</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内六角螺钉</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M12×30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内六角螺钉</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M8×30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内六角螺钉</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M6×25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螺母</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M6</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螺母</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M8</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螺母</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M12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弹簧垫圈</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M8</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119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弹簧垫圈</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M12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方块电池</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6</w:t>
            </w:r>
            <w:r>
              <w:rPr>
                <w:rFonts w:hint="eastAsia" w:asciiTheme="minorEastAsia" w:hAnsiTheme="minorEastAsia" w:eastAsiaTheme="minorEastAsia"/>
                <w:kern w:val="0"/>
                <w:sz w:val="20"/>
              </w:rPr>
              <w:t>F22 9V</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金属网软管</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4</w:t>
            </w:r>
            <w:r>
              <w:rPr>
                <w:rFonts w:hint="eastAsia" w:asciiTheme="minorEastAsia" w:hAnsiTheme="minorEastAsia" w:eastAsiaTheme="minorEastAsia"/>
                <w:kern w:val="0"/>
                <w:sz w:val="20"/>
              </w:rPr>
              <w:t>〞</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螺纹对刀样板</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不锈钢</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手动抽油泵</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25</w:t>
            </w:r>
            <w:r>
              <w:rPr>
                <w:rFonts w:hint="eastAsia" w:asciiTheme="minorEastAsia" w:hAnsiTheme="minorEastAsia" w:eastAsiaTheme="minorEastAsia"/>
                <w:kern w:val="0"/>
                <w:sz w:val="20"/>
              </w:rPr>
              <w:t>型</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铜芯挂锁</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φ10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双面卷闸门锁</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通用</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铁皮剪</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刃口带锯齿 可剪5mm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皮尺</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30m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护目镜</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防尘</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付</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高压汞灯</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250w   E40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高压汞灯</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160w   E27</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LED强光手电筒（细柄）</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远射350m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铣刀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R0.5*2C*4D*50L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铣刀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D0.5*2C*4D*50L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铣刀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D1*3C*4D*50L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铣刀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D2*6C*4D*50L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铣刀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D3*8C*3D*50L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铝块</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40*60*2000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线切割丝</w:t>
            </w:r>
          </w:p>
        </w:tc>
        <w:tc>
          <w:tcPr>
            <w:tcW w:w="1966" w:type="dxa"/>
            <w:shd w:val="clear" w:color="auto" w:fill="auto"/>
            <w:vAlign w:val="center"/>
          </w:tcPr>
          <w:p>
            <w:pPr>
              <w:widowControl/>
              <w:jc w:val="center"/>
              <w:rPr>
                <w:rFonts w:cs="宋体" w:asciiTheme="minorEastAsia" w:hAnsiTheme="minorEastAsia" w:eastAsiaTheme="minorEastAsia"/>
                <w:kern w:val="0"/>
                <w:sz w:val="16"/>
                <w:szCs w:val="16"/>
              </w:rPr>
            </w:pPr>
            <w:r>
              <w:rPr>
                <w:rFonts w:hint="eastAsia" w:cs="宋体" w:asciiTheme="minorEastAsia" w:hAnsiTheme="minorEastAsia" w:eastAsiaTheme="minorEastAsia"/>
                <w:kern w:val="0"/>
                <w:sz w:val="16"/>
                <w:szCs w:val="16"/>
              </w:rPr>
              <w:t>F568-9；0.18mm；1340m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圈</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139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打印耗材</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PLA   1.75mm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卷</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3D打印工具套件</w:t>
            </w:r>
          </w:p>
        </w:tc>
        <w:tc>
          <w:tcPr>
            <w:tcW w:w="1966" w:type="dxa"/>
            <w:shd w:val="clear" w:color="auto" w:fill="auto"/>
            <w:vAlign w:val="center"/>
          </w:tcPr>
          <w:p>
            <w:pPr>
              <w:widowControl/>
              <w:jc w:val="center"/>
              <w:rPr>
                <w:rFonts w:cs="宋体" w:asciiTheme="minorEastAsia" w:hAnsiTheme="minorEastAsia" w:eastAsiaTheme="minorEastAsia"/>
                <w:kern w:val="0"/>
                <w:sz w:val="16"/>
                <w:szCs w:val="16"/>
              </w:rPr>
            </w:pPr>
            <w:r>
              <w:rPr>
                <w:rFonts w:hint="eastAsia" w:cs="宋体" w:asciiTheme="minorEastAsia" w:hAnsiTheme="minorEastAsia" w:eastAsiaTheme="minorEastAsia"/>
                <w:kern w:val="0"/>
                <w:sz w:val="16"/>
                <w:szCs w:val="16"/>
              </w:rPr>
              <w:t>63件（含打磨机、刻刀、平口钳、锉刀）</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w:t>
            </w:r>
            <w:r>
              <w:rPr>
                <w:rFonts w:hint="eastAsia" w:asciiTheme="minorEastAsia" w:hAnsiTheme="minorEastAsia" w:eastAsiaTheme="minorEastAsia"/>
                <w:kern w:val="0"/>
                <w:sz w:val="20"/>
              </w:rPr>
              <w:t xml:space="preserve"> </w:t>
            </w:r>
            <w:r>
              <w:rPr>
                <w:rFonts w:asciiTheme="minorEastAsia" w:hAnsiTheme="minorEastAsia" w:eastAsiaTheme="minorEastAsia"/>
                <w:kern w:val="0"/>
                <w:sz w:val="20"/>
              </w:rPr>
              <w:t>240×200×30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w:t>
            </w:r>
            <w:r>
              <w:rPr>
                <w:rFonts w:hint="eastAsia" w:asciiTheme="minorEastAsia" w:hAnsiTheme="minorEastAsia" w:eastAsiaTheme="minorEastAsia"/>
                <w:kern w:val="0"/>
                <w:sz w:val="20"/>
              </w:rPr>
              <w:t xml:space="preserve"> </w:t>
            </w:r>
            <w:r>
              <w:rPr>
                <w:rFonts w:asciiTheme="minorEastAsia" w:hAnsiTheme="minorEastAsia" w:eastAsiaTheme="minorEastAsia"/>
                <w:kern w:val="0"/>
                <w:sz w:val="20"/>
              </w:rPr>
              <w:t>200×200×50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Q235 200×80×50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w:t>
            </w:r>
            <w:r>
              <w:rPr>
                <w:rFonts w:hint="eastAsia" w:asciiTheme="minorEastAsia" w:hAnsiTheme="minorEastAsia" w:eastAsiaTheme="minorEastAsia"/>
                <w:kern w:val="0"/>
                <w:sz w:val="20"/>
              </w:rPr>
              <w:t xml:space="preserve"> </w:t>
            </w:r>
            <w:r>
              <w:rPr>
                <w:rFonts w:asciiTheme="minorEastAsia" w:hAnsiTheme="minorEastAsia" w:eastAsiaTheme="minorEastAsia"/>
                <w:kern w:val="0"/>
                <w:sz w:val="20"/>
              </w:rPr>
              <w:t>450×250×45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板料</w:t>
            </w:r>
          </w:p>
        </w:tc>
        <w:tc>
          <w:tcPr>
            <w:tcW w:w="1966" w:type="dxa"/>
            <w:shd w:val="clear" w:color="auto" w:fill="auto"/>
            <w:vAlign w:val="center"/>
          </w:tcPr>
          <w:p>
            <w:pPr>
              <w:widowControl/>
              <w:jc w:val="center"/>
              <w:rPr>
                <w:rFonts w:asciiTheme="minorEastAsia" w:hAnsiTheme="minorEastAsia" w:eastAsiaTheme="minorEastAsia"/>
                <w:kern w:val="0"/>
                <w:sz w:val="20"/>
              </w:rPr>
            </w:pPr>
            <w:r>
              <w:rPr>
                <w:rFonts w:asciiTheme="minorEastAsia" w:hAnsiTheme="minorEastAsia" w:eastAsiaTheme="minorEastAsia"/>
                <w:kern w:val="0"/>
                <w:sz w:val="20"/>
              </w:rPr>
              <w:t>Q235</w:t>
            </w:r>
            <w:r>
              <w:rPr>
                <w:rFonts w:hint="eastAsia" w:asciiTheme="minorEastAsia" w:hAnsiTheme="minorEastAsia" w:eastAsiaTheme="minorEastAsia"/>
                <w:kern w:val="0"/>
                <w:sz w:val="20"/>
              </w:rPr>
              <w:t xml:space="preserve"> </w:t>
            </w:r>
            <w:r>
              <w:rPr>
                <w:rFonts w:asciiTheme="minorEastAsia" w:hAnsiTheme="minorEastAsia" w:eastAsiaTheme="minorEastAsia"/>
                <w:kern w:val="0"/>
                <w:sz w:val="20"/>
              </w:rPr>
              <w:t>150×100×25</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3d打印机模型后期处理专用工具</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7件套</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自喷漆</w:t>
            </w:r>
          </w:p>
        </w:tc>
        <w:tc>
          <w:tcPr>
            <w:tcW w:w="1966" w:type="dxa"/>
            <w:shd w:val="clear" w:color="auto" w:fill="auto"/>
            <w:vAlign w:val="center"/>
          </w:tcPr>
          <w:p>
            <w:pPr>
              <w:widowControl/>
              <w:jc w:val="left"/>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258g  镀金、镀铬</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瓶</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3D模型丙烯画颜料</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24色</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盒</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149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3D打印模型漆</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150ml  彩色</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瓶</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水管快速接头</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棉布劳保手套</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加厚</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双</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棉纱</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棉</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铣刀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D16*16D*100L</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铝块</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25*400*600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铝棒</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φ300*70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铝棒</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φ80*2m</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铝棒</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φ130*300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3</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铝块</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250*180*50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铸铁直角板（曲铮）</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12寸</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个</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简易快速分度头</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5寸（配125卡盘）</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台</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内用曲口卡簧钳</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9寸</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黑碳化硅大气孔砂轮</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200*20*32</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片</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数控90°外圆车刀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MVJNR2020K16</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把</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10</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164</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Q235钢板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385×210×40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165</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Q235钢板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205×165×35</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166</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Q235钢板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120×50×12</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167</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Q235钢板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150×150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168</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45钢棒料</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Φ65×6000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根</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169</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45钢棒料</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Φ50×6000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根</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170</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380*380*50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171</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210*230*40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172</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钢板加强筋</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210*95*25</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173</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平衡块钢板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125*28*53</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174</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钢板</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135*230*35</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175</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板材</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370*370*50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176</w:t>
            </w:r>
          </w:p>
        </w:tc>
        <w:tc>
          <w:tcPr>
            <w:tcW w:w="3370"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钢板材料</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300*280*32</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钢板材料</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182*120*50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钢板材料</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180*44*20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179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钢板材料</w:t>
            </w:r>
          </w:p>
        </w:tc>
        <w:tc>
          <w:tcPr>
            <w:tcW w:w="1966"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122*55*35mm</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块</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棒料</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φ120*400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棒料</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φ165*300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根</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5"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六角头螺栓C级</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M8-60  GB/T5780-2000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0"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圆柱销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A10x50  GB/T119.1-2000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小垫圈A级</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8.4x16x1.6  GB/T848-2002</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95"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六角螺母</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M30  GB/T6172.1-2000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5"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钢珠</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SΦ9mm   GB/T17445-1998</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圆柱销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A10x30  GB/T5780-2000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5"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活结螺栓</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M20   L=180 GB/798-88</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189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六角螺母</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M16   GB/6170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螺栓</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M8X70  GB/5782</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平头十字螺钉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M8  GB/8191-2000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内六角圆柱头螺钉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M8X52  GB/70.1</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193</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内螺角螺钉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GB/T70.1  M10×40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194</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内螺角螺钉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GB/T70.1  M6×30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195</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内螺角螺钉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GB/T70.1  M8×40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196</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圆柱销</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GB/T119.1 4M6×30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197</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螺栓</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GB/T5782 M16×65</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198</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xml:space="preserve"> 垫圈</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GB/T97.1  16</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199</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xml:space="preserve"> 垫圈</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GB/T848  10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200</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xml:space="preserve"> 垫圈</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xml:space="preserve">GB/T848   8 </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201</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内螺角螺钉</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GB/T70.1  M8×80</w:t>
            </w:r>
          </w:p>
        </w:tc>
        <w:tc>
          <w:tcPr>
            <w:tcW w:w="638" w:type="dxa"/>
            <w:shd w:val="clear" w:color="auto" w:fill="auto"/>
            <w:vAlign w:val="center"/>
          </w:tcPr>
          <w:p>
            <w:pPr>
              <w:widowControl/>
              <w:jc w:val="center"/>
              <w:rPr>
                <w:rFonts w:cs="宋体" w:asciiTheme="minorEastAsia" w:hAnsiTheme="minorEastAsia" w:eastAsiaTheme="minorEastAsia"/>
                <w:kern w:val="0"/>
                <w:sz w:val="18"/>
                <w:szCs w:val="18"/>
              </w:rPr>
            </w:pPr>
            <w:r>
              <w:rPr>
                <w:rFonts w:hint="eastAsia" w:cs="宋体" w:asciiTheme="minorEastAsia" w:hAnsiTheme="minorEastAsia" w:eastAsiaTheme="minorEastAsia"/>
                <w:kern w:val="0"/>
                <w:sz w:val="18"/>
                <w:szCs w:val="18"/>
              </w:rPr>
              <w:t>kg</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0.5</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2" w:hRule="atLeast"/>
        </w:trPr>
        <w:tc>
          <w:tcPr>
            <w:tcW w:w="51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202</w:t>
            </w:r>
          </w:p>
        </w:tc>
        <w:tc>
          <w:tcPr>
            <w:tcW w:w="3370"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四工位钳工桌（配8′虎钳、隔板）</w:t>
            </w:r>
          </w:p>
        </w:tc>
        <w:tc>
          <w:tcPr>
            <w:tcW w:w="196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1500*1299*800</w:t>
            </w:r>
          </w:p>
        </w:tc>
        <w:tc>
          <w:tcPr>
            <w:tcW w:w="638"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台</w:t>
            </w:r>
          </w:p>
        </w:tc>
        <w:tc>
          <w:tcPr>
            <w:tcW w:w="705"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4</w:t>
            </w:r>
          </w:p>
        </w:tc>
        <w:tc>
          <w:tcPr>
            <w:tcW w:w="113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c>
          <w:tcPr>
            <w:tcW w:w="1276" w:type="dxa"/>
            <w:shd w:val="clear" w:color="auto" w:fill="auto"/>
            <w:vAlign w:val="center"/>
          </w:tcPr>
          <w:p>
            <w:pPr>
              <w:widowControl/>
              <w:jc w:val="center"/>
              <w:rPr>
                <w:rFonts w:cs="宋体" w:asciiTheme="minorEastAsia" w:hAnsiTheme="minorEastAsia" w:eastAsiaTheme="minorEastAsia"/>
                <w:kern w:val="0"/>
                <w:sz w:val="20"/>
              </w:rPr>
            </w:pPr>
            <w:r>
              <w:rPr>
                <w:rFonts w:hint="eastAsia" w:cs="宋体" w:asciiTheme="minorEastAsia" w:hAnsiTheme="minorEastAsia" w:eastAsiaTheme="minorEastAsia"/>
                <w:kern w:val="0"/>
                <w:sz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690" w:hRule="atLeast"/>
        </w:trPr>
        <w:tc>
          <w:tcPr>
            <w:tcW w:w="3886" w:type="dxa"/>
            <w:gridSpan w:val="2"/>
            <w:vAlign w:val="center"/>
          </w:tcPr>
          <w:p>
            <w:pPr>
              <w:spacing w:line="400" w:lineRule="exact"/>
              <w:ind w:left="212" w:leftChars="101" w:firstLine="420" w:firstLineChars="200"/>
              <w:contextualSpacing/>
              <w:rPr>
                <w:rFonts w:asciiTheme="minorEastAsia" w:hAnsiTheme="minorEastAsia" w:eastAsiaTheme="minorEastAsia"/>
                <w:szCs w:val="21"/>
              </w:rPr>
            </w:pPr>
            <w:r>
              <w:rPr>
                <w:rFonts w:hint="eastAsia" w:asciiTheme="minorEastAsia" w:hAnsiTheme="minorEastAsia" w:eastAsiaTheme="minorEastAsia"/>
                <w:szCs w:val="21"/>
              </w:rPr>
              <w:t>总金额（元）</w:t>
            </w:r>
          </w:p>
        </w:tc>
        <w:tc>
          <w:tcPr>
            <w:tcW w:w="5721" w:type="dxa"/>
            <w:gridSpan w:val="5"/>
            <w:vAlign w:val="center"/>
          </w:tcPr>
          <w:p>
            <w:pPr>
              <w:spacing w:line="400" w:lineRule="exact"/>
              <w:ind w:left="212" w:leftChars="101"/>
              <w:contextualSpacing/>
              <w:rPr>
                <w:rFonts w:asciiTheme="minorEastAsia" w:hAnsiTheme="minorEastAsia" w:eastAsiaTheme="minorEastAsia"/>
                <w:szCs w:val="21"/>
              </w:rPr>
            </w:pPr>
            <w:r>
              <w:rPr>
                <w:rFonts w:hint="eastAsia" w:asciiTheme="minorEastAsia" w:hAnsiTheme="minorEastAsia" w:eastAsiaTheme="minorEastAsia"/>
                <w:szCs w:val="21"/>
              </w:rPr>
              <w:t>小写：                 大写：</w:t>
            </w:r>
          </w:p>
        </w:tc>
      </w:tr>
    </w:tbl>
    <w:p>
      <w:pPr>
        <w:spacing w:line="400" w:lineRule="exact"/>
        <w:ind w:firstLine="103" w:firstLineChars="49"/>
        <w:rPr>
          <w:rFonts w:ascii="宋体" w:hAnsi="宋体"/>
          <w:b/>
          <w:szCs w:val="21"/>
        </w:rPr>
      </w:pPr>
    </w:p>
    <w:p>
      <w:pPr>
        <w:spacing w:line="400" w:lineRule="exact"/>
        <w:contextualSpacing/>
        <w:jc w:val="left"/>
        <w:rPr>
          <w:rFonts w:ascii="宋体" w:hAnsi="宋体"/>
          <w:szCs w:val="21"/>
        </w:rPr>
      </w:pPr>
      <w:r>
        <w:rPr>
          <w:rFonts w:hint="eastAsia" w:ascii="宋体" w:hAnsi="宋体"/>
          <w:szCs w:val="21"/>
        </w:rPr>
        <w:t xml:space="preserve">注：1. 报价是最终用户验收合格后的总价，包括货物运输、保险、税费、招标文件规定的其它费用。 </w:t>
      </w:r>
    </w:p>
    <w:p>
      <w:pPr>
        <w:spacing w:line="400" w:lineRule="exact"/>
        <w:contextualSpacing/>
        <w:jc w:val="left"/>
        <w:rPr>
          <w:rFonts w:ascii="宋体" w:hAnsi="宋体"/>
          <w:szCs w:val="21"/>
        </w:rPr>
      </w:pPr>
      <w:r>
        <w:rPr>
          <w:rFonts w:hint="eastAsia" w:ascii="宋体" w:hAnsi="宋体"/>
          <w:szCs w:val="21"/>
        </w:rPr>
        <w:t xml:space="preserve">    2. 投标商家需根据使用计划和要求按时、按质、按量送达使用单位指定地点。投标产品需符合国家国家相关规定和行业标准。</w:t>
      </w:r>
    </w:p>
    <w:p>
      <w:pPr>
        <w:spacing w:line="400" w:lineRule="exact"/>
        <w:ind w:firstLine="525" w:firstLineChars="249"/>
        <w:rPr>
          <w:rFonts w:ascii="宋体" w:hAnsi="宋体"/>
          <w:b/>
          <w:szCs w:val="21"/>
        </w:rPr>
      </w:pPr>
      <w:r>
        <w:rPr>
          <w:rFonts w:hint="eastAsia" w:ascii="宋体" w:hAnsi="宋体"/>
          <w:b/>
          <w:szCs w:val="21"/>
        </w:rPr>
        <w:t>二、合同总价</w:t>
      </w:r>
      <w:bookmarkEnd w:id="205"/>
    </w:p>
    <w:p>
      <w:pPr>
        <w:pStyle w:val="4"/>
        <w:spacing w:line="400" w:lineRule="exact"/>
        <w:ind w:left="105" w:leftChars="50" w:firstLine="368" w:firstLineChars="175"/>
        <w:contextualSpacing/>
        <w:rPr>
          <w:rFonts w:ascii="宋体" w:hAnsi="宋体"/>
          <w:szCs w:val="21"/>
        </w:rPr>
      </w:pPr>
      <w:r>
        <w:rPr>
          <w:rFonts w:hint="eastAsia" w:ascii="宋体" w:hAnsi="宋体"/>
          <w:szCs w:val="21"/>
        </w:rPr>
        <w:t>合同总价为人民币大写：</w:t>
      </w:r>
      <w:r>
        <w:rPr>
          <w:rFonts w:hint="eastAsia" w:ascii="宋体" w:hAnsi="宋体"/>
          <w:szCs w:val="21"/>
          <w:u w:val="single"/>
        </w:rPr>
        <w:t xml:space="preserve">       </w:t>
      </w:r>
      <w:r>
        <w:rPr>
          <w:rFonts w:hint="eastAsia" w:ascii="宋体" w:hAnsi="宋体"/>
          <w:szCs w:val="21"/>
        </w:rPr>
        <w:t>元，即RMB￥</w:t>
      </w:r>
      <w:r>
        <w:rPr>
          <w:rFonts w:hint="eastAsia" w:ascii="宋体" w:hAnsi="宋体"/>
          <w:szCs w:val="21"/>
          <w:u w:val="single"/>
        </w:rPr>
        <w:t xml:space="preserve">     </w:t>
      </w:r>
      <w:r>
        <w:rPr>
          <w:rFonts w:hint="eastAsia" w:ascii="宋体" w:hAnsi="宋体"/>
          <w:szCs w:val="21"/>
        </w:rPr>
        <w:t>元；该合同总价已包括货物生产、运输、检测等等所有其他有关各项的含税费用（本合同执行期间，货物单价以投标报价为准。招标文件中预算的产品使用量不作为货款结算的依据，结算时以实际发生的供货量为准）。</w:t>
      </w:r>
    </w:p>
    <w:p>
      <w:pPr>
        <w:pStyle w:val="4"/>
        <w:spacing w:line="400" w:lineRule="exact"/>
        <w:ind w:left="105" w:leftChars="50" w:firstLine="369" w:firstLineChars="175"/>
        <w:contextualSpacing/>
        <w:rPr>
          <w:rFonts w:ascii="宋体" w:hAnsi="宋体"/>
          <w:b/>
          <w:szCs w:val="21"/>
        </w:rPr>
      </w:pPr>
      <w:bookmarkStart w:id="206" w:name="_Toc217446109"/>
      <w:r>
        <w:rPr>
          <w:rFonts w:hint="eastAsia" w:ascii="宋体" w:hAnsi="宋体"/>
          <w:b/>
          <w:szCs w:val="21"/>
        </w:rPr>
        <w:t>三、质量要求</w:t>
      </w:r>
      <w:bookmarkEnd w:id="206"/>
    </w:p>
    <w:p>
      <w:pPr>
        <w:spacing w:line="400" w:lineRule="exact"/>
        <w:ind w:left="105" w:leftChars="50" w:firstLine="420" w:firstLineChars="200"/>
        <w:contextualSpacing/>
        <w:rPr>
          <w:rFonts w:ascii="宋体" w:hAnsi="宋体"/>
          <w:szCs w:val="21"/>
        </w:rPr>
      </w:pPr>
      <w:r>
        <w:rPr>
          <w:rFonts w:hint="eastAsia" w:ascii="宋体" w:hAnsi="宋体" w:cs="宋体"/>
          <w:szCs w:val="21"/>
        </w:rPr>
        <w:t>1、</w:t>
      </w:r>
      <w:r>
        <w:rPr>
          <w:rFonts w:hint="eastAsia" w:ascii="宋体" w:hAnsi="宋体"/>
          <w:szCs w:val="21"/>
        </w:rPr>
        <w:t>货物必须符合或优于国家（行业）标准，以及本项目招标文件的质量要求和技术指标与出厂标准。</w:t>
      </w:r>
    </w:p>
    <w:p>
      <w:pPr>
        <w:pStyle w:val="173"/>
        <w:ind w:left="105" w:leftChars="50" w:firstLine="420"/>
        <w:contextualSpacing/>
        <w:rPr>
          <w:rFonts w:ascii="宋体" w:hAnsi="宋体"/>
          <w:sz w:val="21"/>
          <w:szCs w:val="21"/>
        </w:rPr>
      </w:pPr>
      <w:r>
        <w:rPr>
          <w:rFonts w:hint="eastAsia" w:ascii="宋体" w:hAnsi="宋体"/>
          <w:sz w:val="21"/>
          <w:szCs w:val="21"/>
        </w:rPr>
        <w:t>2、货物制造质量出现问题，乙方应负责三包（包修、包换、包退），费用由乙方负担。</w:t>
      </w:r>
    </w:p>
    <w:p>
      <w:pPr>
        <w:pStyle w:val="4"/>
        <w:spacing w:line="400" w:lineRule="exact"/>
        <w:ind w:left="105" w:leftChars="50" w:firstLine="369" w:firstLineChars="175"/>
        <w:contextualSpacing/>
        <w:rPr>
          <w:rFonts w:ascii="宋体" w:hAnsi="宋体"/>
          <w:b/>
          <w:bCs/>
          <w:szCs w:val="21"/>
        </w:rPr>
      </w:pPr>
      <w:r>
        <w:rPr>
          <w:rFonts w:hint="eastAsia" w:ascii="宋体" w:hAnsi="宋体"/>
          <w:b/>
          <w:bCs/>
          <w:szCs w:val="21"/>
        </w:rPr>
        <w:t>四、包装和运输</w:t>
      </w:r>
    </w:p>
    <w:p>
      <w:pPr>
        <w:pStyle w:val="4"/>
        <w:spacing w:line="400" w:lineRule="exact"/>
        <w:ind w:left="105" w:leftChars="50" w:firstLine="368" w:firstLineChars="175"/>
        <w:contextualSpacing/>
        <w:rPr>
          <w:rFonts w:ascii="宋体" w:hAnsi="宋体" w:cs="宋体"/>
          <w:szCs w:val="21"/>
        </w:rPr>
      </w:pPr>
      <w:r>
        <w:rPr>
          <w:rFonts w:hint="eastAsia" w:ascii="宋体" w:hAnsi="宋体" w:cs="宋体"/>
          <w:szCs w:val="21"/>
        </w:rPr>
        <w:t>由乙方负责完成货物装载、运输、卸载、入库搬运等的所承担一切费用。</w:t>
      </w:r>
    </w:p>
    <w:p>
      <w:pPr>
        <w:spacing w:line="400" w:lineRule="exact"/>
        <w:ind w:left="105" w:leftChars="50" w:firstLine="422" w:firstLineChars="200"/>
        <w:contextualSpacing/>
        <w:rPr>
          <w:rFonts w:ascii="宋体" w:hAnsi="宋体"/>
          <w:b/>
          <w:szCs w:val="21"/>
        </w:rPr>
      </w:pPr>
      <w:bookmarkStart w:id="207" w:name="_Toc217446110"/>
      <w:r>
        <w:rPr>
          <w:rFonts w:hint="eastAsia" w:ascii="宋体" w:hAnsi="宋体"/>
          <w:b/>
          <w:szCs w:val="21"/>
        </w:rPr>
        <w:t>五、交货及验收</w:t>
      </w:r>
      <w:bookmarkEnd w:id="207"/>
    </w:p>
    <w:p>
      <w:pPr>
        <w:pStyle w:val="173"/>
        <w:ind w:left="105" w:leftChars="50" w:firstLine="420"/>
        <w:contextualSpacing/>
        <w:rPr>
          <w:rFonts w:ascii="宋体" w:hAnsi="宋体"/>
          <w:sz w:val="21"/>
          <w:szCs w:val="21"/>
        </w:rPr>
      </w:pPr>
      <w:r>
        <w:rPr>
          <w:rFonts w:hint="eastAsia" w:ascii="宋体" w:hAnsi="宋体"/>
          <w:sz w:val="21"/>
          <w:szCs w:val="21"/>
        </w:rPr>
        <w:t>1、乙方交货期限为合同签订生效后的XX日内，在合同签订生效之日起XX天内交货到甲方指定地点，随即在XX日内全部完成验收合格交付使用。</w:t>
      </w:r>
    </w:p>
    <w:p>
      <w:pPr>
        <w:pStyle w:val="173"/>
        <w:ind w:left="105" w:leftChars="50" w:firstLine="420"/>
        <w:contextualSpacing/>
        <w:rPr>
          <w:rFonts w:ascii="宋体" w:hAnsi="宋体"/>
          <w:sz w:val="21"/>
          <w:szCs w:val="21"/>
        </w:rPr>
      </w:pPr>
      <w:r>
        <w:rPr>
          <w:rFonts w:hint="eastAsia" w:ascii="宋体" w:hAnsi="宋体"/>
          <w:sz w:val="21"/>
          <w:szCs w:val="21"/>
        </w:rPr>
        <w:t>2、验收由甲方组织，乙方配合进行：</w:t>
      </w:r>
    </w:p>
    <w:p>
      <w:pPr>
        <w:pStyle w:val="173"/>
        <w:ind w:left="105" w:leftChars="50" w:firstLine="420"/>
        <w:contextualSpacing/>
        <w:rPr>
          <w:rFonts w:ascii="宋体" w:hAnsi="宋体"/>
          <w:sz w:val="21"/>
          <w:szCs w:val="21"/>
        </w:rPr>
      </w:pPr>
      <w:r>
        <w:rPr>
          <w:rFonts w:hint="eastAsia" w:ascii="宋体" w:hAnsi="宋体"/>
          <w:sz w:val="21"/>
          <w:szCs w:val="21"/>
        </w:rPr>
        <w:t>(1) 货物在乙方供货完毕后日内完成验收；</w:t>
      </w:r>
    </w:p>
    <w:p>
      <w:pPr>
        <w:pStyle w:val="173"/>
        <w:ind w:left="105" w:leftChars="50" w:firstLine="420"/>
        <w:contextualSpacing/>
        <w:rPr>
          <w:rFonts w:ascii="宋体" w:hAnsi="宋体"/>
          <w:sz w:val="21"/>
          <w:szCs w:val="21"/>
        </w:rPr>
      </w:pPr>
      <w:r>
        <w:rPr>
          <w:rFonts w:hint="eastAsia" w:ascii="宋体" w:hAnsi="宋体"/>
          <w:sz w:val="21"/>
          <w:szCs w:val="21"/>
        </w:rPr>
        <w:t>(2) 验收标准：按有关规定以及甲方招标文件的质量要求和技术指标、乙方的投标文件及承诺与本合同约定标准进行验收；甲乙双方如对质量要求和技术指标的约定标准有相互抵触或异议的事项，由甲方在招标与投标文件中按质量要求和技术指标比较优胜的原则确定该项的约定标准进行验收；</w:t>
      </w:r>
    </w:p>
    <w:p>
      <w:pPr>
        <w:pStyle w:val="173"/>
        <w:ind w:left="105" w:leftChars="50" w:firstLine="420"/>
        <w:contextualSpacing/>
        <w:rPr>
          <w:rFonts w:ascii="宋体" w:hAnsi="宋体"/>
          <w:sz w:val="21"/>
          <w:szCs w:val="21"/>
        </w:rPr>
      </w:pPr>
      <w:r>
        <w:rPr>
          <w:rFonts w:hint="eastAsia" w:ascii="宋体" w:hAnsi="宋体"/>
          <w:sz w:val="21"/>
          <w:szCs w:val="21"/>
        </w:rPr>
        <w:t>(3) 验收时如发现所交付的货物有短装、次品、损坏或其它不符合标准及本合同规定之情形者，甲方应做出详尽的现场记录，或由甲乙双方签署备忘录，此现场记录或备忘录可用作补充、缺失和更换的有效证据，由此产生的时间延误与有关费用由乙方承担，验收期限相应顺延；</w:t>
      </w:r>
    </w:p>
    <w:p>
      <w:pPr>
        <w:pStyle w:val="173"/>
        <w:ind w:left="105" w:leftChars="50" w:firstLine="420"/>
        <w:contextualSpacing/>
        <w:rPr>
          <w:rFonts w:ascii="宋体" w:hAnsi="宋体"/>
          <w:sz w:val="21"/>
          <w:szCs w:val="21"/>
        </w:rPr>
      </w:pPr>
      <w:r>
        <w:rPr>
          <w:rFonts w:hint="eastAsia" w:ascii="宋体" w:hAnsi="宋体"/>
          <w:sz w:val="21"/>
          <w:szCs w:val="21"/>
        </w:rPr>
        <w:t>(4) 如质量验收合格，双方签署质量验收报告。</w:t>
      </w:r>
    </w:p>
    <w:p>
      <w:pPr>
        <w:pStyle w:val="173"/>
        <w:ind w:left="105" w:leftChars="50" w:firstLine="420"/>
        <w:contextualSpacing/>
        <w:rPr>
          <w:rFonts w:ascii="宋体" w:hAnsi="宋体"/>
          <w:sz w:val="21"/>
          <w:szCs w:val="21"/>
        </w:rPr>
      </w:pPr>
      <w:r>
        <w:rPr>
          <w:rFonts w:hint="eastAsia" w:ascii="宋体" w:hAnsi="宋体"/>
          <w:sz w:val="21"/>
          <w:szCs w:val="21"/>
        </w:rPr>
        <w:t>3、如货物不能达到合同约定的质量标准，甲方有权退货，并视作乙方不能交付货物而须支付违约赔偿金给甲方，甲方还可依法追究乙方的违约责任。</w:t>
      </w:r>
    </w:p>
    <w:p>
      <w:pPr>
        <w:pStyle w:val="173"/>
        <w:ind w:left="105" w:leftChars="50" w:firstLine="420"/>
        <w:contextualSpacing/>
        <w:rPr>
          <w:rFonts w:ascii="宋体" w:hAnsi="宋体"/>
          <w:sz w:val="21"/>
          <w:szCs w:val="21"/>
        </w:rPr>
      </w:pPr>
      <w:r>
        <w:rPr>
          <w:rFonts w:hint="eastAsia" w:ascii="宋体" w:hAnsi="宋体"/>
          <w:sz w:val="21"/>
          <w:szCs w:val="21"/>
        </w:rPr>
        <w:t>4、其他未尽事宜应严格按照国家相关法律法规的要求进行。</w:t>
      </w:r>
    </w:p>
    <w:p>
      <w:pPr>
        <w:spacing w:line="400" w:lineRule="exact"/>
        <w:ind w:left="105" w:leftChars="50" w:firstLine="422" w:firstLineChars="200"/>
        <w:contextualSpacing/>
        <w:rPr>
          <w:rFonts w:ascii="宋体" w:hAnsi="宋体"/>
          <w:b/>
          <w:szCs w:val="21"/>
        </w:rPr>
      </w:pPr>
      <w:bookmarkStart w:id="208" w:name="_Toc217446111"/>
      <w:r>
        <w:rPr>
          <w:rFonts w:hint="eastAsia" w:ascii="宋体" w:hAnsi="宋体"/>
          <w:b/>
          <w:szCs w:val="21"/>
        </w:rPr>
        <w:t>六、付款方式</w:t>
      </w:r>
      <w:bookmarkEnd w:id="208"/>
    </w:p>
    <w:p>
      <w:pPr>
        <w:spacing w:line="400" w:lineRule="exact"/>
        <w:ind w:left="105" w:leftChars="50" w:firstLine="420" w:firstLineChars="200"/>
        <w:contextualSpacing/>
        <w:rPr>
          <w:rFonts w:ascii="宋体" w:hAnsi="宋体"/>
          <w:szCs w:val="21"/>
        </w:rPr>
      </w:pPr>
      <w:r>
        <w:rPr>
          <w:rFonts w:hint="eastAsia" w:ascii="宋体" w:hAnsi="宋体"/>
          <w:szCs w:val="21"/>
        </w:rPr>
        <w:t>1、项目验收合格后，甲方应按《采购合同》约定，一次性向乙方支付货款；付款时乙方向甲方开具正式等额有效发票。</w:t>
      </w:r>
    </w:p>
    <w:p>
      <w:pPr>
        <w:pStyle w:val="173"/>
        <w:ind w:left="105" w:leftChars="50" w:firstLine="420"/>
        <w:contextualSpacing/>
        <w:rPr>
          <w:rFonts w:ascii="宋体" w:hAnsi="宋体"/>
          <w:sz w:val="21"/>
          <w:szCs w:val="21"/>
        </w:rPr>
      </w:pPr>
      <w:r>
        <w:rPr>
          <w:rFonts w:hint="eastAsia" w:ascii="宋体" w:hAnsi="宋体"/>
          <w:sz w:val="21"/>
          <w:szCs w:val="21"/>
        </w:rPr>
        <w:t>2、乙方须向甲方出具合法有效完整的完税发票及凭证资料进行支付结算。</w:t>
      </w:r>
    </w:p>
    <w:p>
      <w:pPr>
        <w:spacing w:line="400" w:lineRule="exact"/>
        <w:ind w:left="105" w:leftChars="50" w:firstLine="422" w:firstLineChars="200"/>
        <w:contextualSpacing/>
        <w:rPr>
          <w:rFonts w:ascii="宋体" w:hAnsi="宋体"/>
          <w:b/>
          <w:szCs w:val="21"/>
        </w:rPr>
      </w:pPr>
      <w:bookmarkStart w:id="209" w:name="_Toc217446112"/>
      <w:r>
        <w:rPr>
          <w:rFonts w:hint="eastAsia" w:ascii="宋体" w:hAnsi="宋体"/>
          <w:b/>
          <w:szCs w:val="21"/>
        </w:rPr>
        <w:t>七、售后服务</w:t>
      </w:r>
      <w:bookmarkEnd w:id="209"/>
    </w:p>
    <w:p>
      <w:pPr>
        <w:pStyle w:val="173"/>
        <w:ind w:left="105" w:leftChars="50" w:firstLine="420"/>
        <w:contextualSpacing/>
        <w:rPr>
          <w:rFonts w:ascii="宋体" w:hAnsi="宋体"/>
          <w:sz w:val="21"/>
          <w:szCs w:val="21"/>
        </w:rPr>
      </w:pPr>
      <w:r>
        <w:rPr>
          <w:rFonts w:hint="eastAsia" w:ascii="宋体" w:hAnsi="宋体"/>
          <w:sz w:val="21"/>
          <w:szCs w:val="21"/>
        </w:rPr>
        <w:t>1、如乙方货物不能达到本合同约定的质量标准，视作乙方未能按时交货，甲方有权退货并追究乙方的违约责任。货到现场后由于甲方保管不当造成的问题，费用由甲方负担。</w:t>
      </w:r>
    </w:p>
    <w:p>
      <w:pPr>
        <w:pStyle w:val="173"/>
        <w:ind w:left="105" w:leftChars="50" w:firstLine="420"/>
        <w:contextualSpacing/>
        <w:rPr>
          <w:rFonts w:ascii="宋体" w:hAnsi="宋体"/>
          <w:sz w:val="21"/>
          <w:szCs w:val="21"/>
        </w:rPr>
      </w:pPr>
      <w:r>
        <w:rPr>
          <w:rFonts w:hint="eastAsia" w:ascii="宋体" w:hAnsi="宋体"/>
          <w:sz w:val="21"/>
          <w:szCs w:val="21"/>
        </w:rPr>
        <w:t>2、乙方须指派专人负责与甲方联系供货及售后服务事宜。</w:t>
      </w:r>
    </w:p>
    <w:p>
      <w:pPr>
        <w:spacing w:line="400" w:lineRule="exact"/>
        <w:ind w:left="105" w:leftChars="50" w:firstLine="422" w:firstLineChars="200"/>
        <w:contextualSpacing/>
        <w:rPr>
          <w:rFonts w:ascii="宋体" w:hAnsi="宋体"/>
          <w:b/>
          <w:szCs w:val="21"/>
        </w:rPr>
      </w:pPr>
      <w:bookmarkStart w:id="210" w:name="_Toc217446113"/>
      <w:r>
        <w:rPr>
          <w:rFonts w:hint="eastAsia" w:ascii="宋体" w:hAnsi="宋体"/>
          <w:b/>
          <w:szCs w:val="21"/>
        </w:rPr>
        <w:t>八、违约责任</w:t>
      </w:r>
      <w:bookmarkEnd w:id="210"/>
    </w:p>
    <w:p>
      <w:pPr>
        <w:pStyle w:val="173"/>
        <w:ind w:left="105" w:leftChars="50" w:firstLine="420"/>
        <w:contextualSpacing/>
        <w:rPr>
          <w:rFonts w:ascii="宋体" w:hAnsi="宋体"/>
          <w:sz w:val="21"/>
          <w:szCs w:val="21"/>
        </w:rPr>
      </w:pPr>
      <w:r>
        <w:rPr>
          <w:rFonts w:hint="eastAsia" w:ascii="宋体" w:hAnsi="宋体"/>
          <w:sz w:val="21"/>
          <w:szCs w:val="21"/>
        </w:rPr>
        <w:t>1、甲方违约责任</w:t>
      </w:r>
    </w:p>
    <w:p>
      <w:pPr>
        <w:pStyle w:val="173"/>
        <w:ind w:left="105" w:leftChars="50" w:firstLine="420"/>
        <w:contextualSpacing/>
        <w:rPr>
          <w:rFonts w:ascii="宋体" w:hAnsi="宋体"/>
          <w:sz w:val="21"/>
          <w:szCs w:val="21"/>
        </w:rPr>
      </w:pPr>
      <w:r>
        <w:rPr>
          <w:rFonts w:hint="eastAsia" w:ascii="宋体" w:hAnsi="宋体"/>
          <w:sz w:val="21"/>
          <w:szCs w:val="21"/>
        </w:rPr>
        <w:t>（1） 甲方无正当理由拒收货物的，甲方应偿付货物总价的</w:t>
      </w:r>
      <w:r>
        <w:rPr>
          <w:rFonts w:hint="eastAsia" w:ascii="宋体" w:hAnsi="宋体"/>
          <w:sz w:val="21"/>
          <w:szCs w:val="21"/>
          <w:u w:val="single"/>
        </w:rPr>
        <w:t>5%</w:t>
      </w:r>
      <w:r>
        <w:rPr>
          <w:rFonts w:hint="eastAsia" w:ascii="宋体" w:hAnsi="宋体"/>
          <w:sz w:val="21"/>
          <w:szCs w:val="21"/>
        </w:rPr>
        <w:t>的违约金；</w:t>
      </w:r>
    </w:p>
    <w:p>
      <w:pPr>
        <w:pStyle w:val="173"/>
        <w:ind w:left="105" w:leftChars="50" w:firstLine="420"/>
        <w:contextualSpacing/>
        <w:rPr>
          <w:rFonts w:ascii="宋体" w:hAnsi="宋体"/>
          <w:sz w:val="21"/>
          <w:szCs w:val="21"/>
        </w:rPr>
      </w:pPr>
      <w:r>
        <w:rPr>
          <w:rFonts w:hint="eastAsia" w:ascii="宋体" w:hAnsi="宋体"/>
          <w:sz w:val="21"/>
          <w:szCs w:val="21"/>
        </w:rPr>
        <w:t>（2） 甲方逾期支付货款的，除应及时付足货款外，应向乙方偿付欠款总额万分之</w:t>
      </w:r>
      <w:r>
        <w:rPr>
          <w:rFonts w:hint="eastAsia" w:ascii="宋体" w:hAnsi="宋体"/>
          <w:sz w:val="21"/>
          <w:szCs w:val="21"/>
          <w:u w:val="single"/>
        </w:rPr>
        <w:t xml:space="preserve"> 1 </w:t>
      </w:r>
      <w:r>
        <w:rPr>
          <w:rFonts w:hint="eastAsia" w:ascii="宋体" w:hAnsi="宋体"/>
          <w:sz w:val="21"/>
          <w:szCs w:val="21"/>
        </w:rPr>
        <w:t xml:space="preserve"> /天的违约金；逾期付款超过</w:t>
      </w:r>
      <w:r>
        <w:rPr>
          <w:rFonts w:hint="eastAsia" w:ascii="宋体" w:hAnsi="宋体"/>
          <w:sz w:val="21"/>
          <w:szCs w:val="21"/>
          <w:u w:val="single"/>
        </w:rPr>
        <w:t xml:space="preserve"> 30 </w:t>
      </w:r>
      <w:r>
        <w:rPr>
          <w:rFonts w:hint="eastAsia" w:ascii="宋体" w:hAnsi="宋体"/>
          <w:sz w:val="21"/>
          <w:szCs w:val="21"/>
        </w:rPr>
        <w:t>天的，乙方有权终止合同；</w:t>
      </w:r>
    </w:p>
    <w:p>
      <w:pPr>
        <w:pStyle w:val="173"/>
        <w:ind w:left="105" w:leftChars="50" w:firstLine="420"/>
        <w:contextualSpacing/>
        <w:rPr>
          <w:rFonts w:ascii="宋体" w:hAnsi="宋体"/>
          <w:sz w:val="21"/>
          <w:szCs w:val="21"/>
        </w:rPr>
      </w:pPr>
      <w:r>
        <w:rPr>
          <w:rFonts w:hint="eastAsia" w:ascii="宋体" w:hAnsi="宋体"/>
          <w:sz w:val="21"/>
          <w:szCs w:val="21"/>
        </w:rPr>
        <w:t>（3） 甲方偿付的违约金不足以弥补乙方损失的，还应按乙方损失尚未弥补的部分，支付赔偿金给乙方。</w:t>
      </w:r>
    </w:p>
    <w:p>
      <w:pPr>
        <w:pStyle w:val="173"/>
        <w:ind w:left="105" w:leftChars="50" w:firstLine="420"/>
        <w:contextualSpacing/>
        <w:rPr>
          <w:rFonts w:ascii="宋体" w:hAnsi="宋体"/>
          <w:sz w:val="21"/>
          <w:szCs w:val="21"/>
        </w:rPr>
      </w:pPr>
      <w:r>
        <w:rPr>
          <w:rFonts w:hint="eastAsia" w:ascii="宋体" w:hAnsi="宋体"/>
          <w:sz w:val="21"/>
          <w:szCs w:val="21"/>
        </w:rPr>
        <w:t>2、乙方违约责任</w:t>
      </w:r>
    </w:p>
    <w:p>
      <w:pPr>
        <w:pStyle w:val="173"/>
        <w:ind w:left="105" w:leftChars="50" w:firstLine="420"/>
        <w:contextualSpacing/>
        <w:rPr>
          <w:rFonts w:ascii="宋体" w:hAnsi="宋体"/>
          <w:sz w:val="21"/>
          <w:szCs w:val="21"/>
        </w:rPr>
      </w:pPr>
      <w:r>
        <w:rPr>
          <w:rFonts w:hint="eastAsia" w:ascii="宋体" w:hAnsi="宋体"/>
          <w:sz w:val="21"/>
          <w:szCs w:val="21"/>
        </w:rPr>
        <w:t>（1）乙方交付的货物质量不符合合同规定的，乙方应向甲方支付合同总价的</w:t>
      </w:r>
      <w:r>
        <w:rPr>
          <w:rFonts w:hint="eastAsia" w:ascii="宋体" w:hAnsi="宋体"/>
          <w:sz w:val="21"/>
          <w:szCs w:val="21"/>
          <w:u w:val="single"/>
        </w:rPr>
        <w:t>5%</w:t>
      </w:r>
      <w:r>
        <w:rPr>
          <w:rFonts w:hint="eastAsia" w:ascii="宋体" w:hAnsi="宋体"/>
          <w:sz w:val="21"/>
          <w:szCs w:val="21"/>
        </w:rPr>
        <w:t>的违约金，并须在合同规定的交货时间内更换合格的货物给甲方，否则，视作乙方不能交付货物而违约，按本条本款下述第“（2）”项规定由乙方偿付违约赔偿金给甲方。</w:t>
      </w:r>
    </w:p>
    <w:p>
      <w:pPr>
        <w:pStyle w:val="173"/>
        <w:ind w:left="105" w:leftChars="50" w:firstLine="420"/>
        <w:contextualSpacing/>
        <w:rPr>
          <w:rFonts w:ascii="宋体" w:hAnsi="宋体"/>
          <w:sz w:val="21"/>
          <w:szCs w:val="21"/>
        </w:rPr>
      </w:pPr>
      <w:r>
        <w:rPr>
          <w:rFonts w:hint="eastAsia" w:ascii="宋体" w:hAnsi="宋体"/>
          <w:sz w:val="21"/>
          <w:szCs w:val="21"/>
        </w:rPr>
        <w:t>（2）乙方不能交付货物或逾期交付货物而违约的，除应及时交足货物外，应向甲方偿付逾期交货部分货款总额的万分之</w:t>
      </w:r>
      <w:r>
        <w:rPr>
          <w:rFonts w:hint="eastAsia" w:ascii="宋体" w:hAnsi="宋体"/>
          <w:sz w:val="21"/>
          <w:szCs w:val="21"/>
          <w:u w:val="single"/>
        </w:rPr>
        <w:t xml:space="preserve"> 1 </w:t>
      </w:r>
      <w:r>
        <w:rPr>
          <w:rFonts w:hint="eastAsia" w:ascii="宋体" w:hAnsi="宋体"/>
          <w:sz w:val="21"/>
          <w:szCs w:val="21"/>
        </w:rPr>
        <w:t xml:space="preserve"> /天的违约金；逾期交货超过XX天，甲方有权终止合同，乙方则应按合同总价的</w:t>
      </w:r>
      <w:r>
        <w:rPr>
          <w:rFonts w:hint="eastAsia" w:ascii="宋体" w:hAnsi="宋体"/>
          <w:sz w:val="21"/>
          <w:szCs w:val="21"/>
          <w:u w:val="single"/>
        </w:rPr>
        <w:t>5%</w:t>
      </w:r>
      <w:r>
        <w:rPr>
          <w:rFonts w:hint="eastAsia" w:ascii="宋体" w:hAnsi="宋体"/>
          <w:sz w:val="21"/>
          <w:szCs w:val="21"/>
        </w:rPr>
        <w:t>的款额向甲方偿付赔偿金，并须全额退还甲方已经付给乙方的货款及其利息。</w:t>
      </w:r>
    </w:p>
    <w:p>
      <w:pPr>
        <w:pStyle w:val="173"/>
        <w:ind w:left="105" w:leftChars="50" w:firstLine="420"/>
        <w:contextualSpacing/>
        <w:rPr>
          <w:rFonts w:ascii="宋体" w:hAnsi="宋体"/>
          <w:sz w:val="21"/>
          <w:szCs w:val="21"/>
        </w:rPr>
      </w:pPr>
      <w:r>
        <w:rPr>
          <w:rFonts w:hint="eastAsia" w:ascii="宋体" w:hAnsi="宋体"/>
          <w:sz w:val="21"/>
          <w:szCs w:val="21"/>
        </w:rPr>
        <w:t>（3）乙方货物经甲方送交具有法定资格条件的质量技术监督机构检测后，如检测结果认定货物质量不符合本合同规定标准的，则视为乙方没有按时交货而违约，乙方须在</w:t>
      </w:r>
      <w:r>
        <w:rPr>
          <w:rFonts w:hint="eastAsia" w:ascii="宋体" w:hAnsi="宋体"/>
          <w:sz w:val="21"/>
          <w:szCs w:val="21"/>
          <w:u w:val="single"/>
        </w:rPr>
        <w:t xml:space="preserve"> 7  </w:t>
      </w:r>
      <w:r>
        <w:rPr>
          <w:rFonts w:hint="eastAsia" w:ascii="宋体" w:hAnsi="宋体"/>
          <w:sz w:val="21"/>
          <w:szCs w:val="21"/>
        </w:rPr>
        <w:t>天内无条件更换合格的货物，如逾期不能更换合格的货物，甲方有权终止本合同，乙方应另付合同总价的</w:t>
      </w:r>
      <w:r>
        <w:rPr>
          <w:rFonts w:hint="eastAsia" w:ascii="宋体" w:hAnsi="宋体"/>
          <w:sz w:val="21"/>
          <w:szCs w:val="21"/>
          <w:u w:val="single"/>
        </w:rPr>
        <w:t>5%</w:t>
      </w:r>
      <w:r>
        <w:rPr>
          <w:rFonts w:hint="eastAsia" w:ascii="宋体" w:hAnsi="宋体"/>
          <w:sz w:val="21"/>
          <w:szCs w:val="21"/>
        </w:rPr>
        <w:t>的赔偿金给甲方。</w:t>
      </w:r>
    </w:p>
    <w:p>
      <w:pPr>
        <w:pStyle w:val="173"/>
        <w:ind w:left="105" w:leftChars="50" w:firstLine="420"/>
        <w:contextualSpacing/>
        <w:rPr>
          <w:rFonts w:ascii="宋体" w:hAnsi="宋体"/>
          <w:sz w:val="21"/>
          <w:szCs w:val="21"/>
        </w:rPr>
      </w:pPr>
      <w:r>
        <w:rPr>
          <w:rFonts w:hint="eastAsia" w:ascii="宋体" w:hAnsi="宋体"/>
          <w:sz w:val="21"/>
          <w:szCs w:val="21"/>
        </w:rPr>
        <w:t>（4）乙方保证本合同货物的权利无瑕疵，包括货物所有权及知识产权等权利无瑕疵。如任何第三方经法院（或仲裁机构）裁决有权对上述货物主张权利或国家机关依法对货物进行没收查处的，乙方除应向甲方返还已收款项外，还应另按合同总价的</w:t>
      </w:r>
      <w:r>
        <w:rPr>
          <w:rFonts w:hint="eastAsia" w:ascii="宋体" w:hAnsi="宋体"/>
          <w:sz w:val="21"/>
          <w:szCs w:val="21"/>
          <w:u w:val="single"/>
        </w:rPr>
        <w:t>5%</w:t>
      </w:r>
      <w:r>
        <w:rPr>
          <w:rFonts w:hint="eastAsia" w:ascii="宋体" w:hAnsi="宋体"/>
          <w:sz w:val="21"/>
          <w:szCs w:val="21"/>
        </w:rPr>
        <w:t>向甲方支付违约金并赔偿因此给甲方造成的一切损失。</w:t>
      </w:r>
    </w:p>
    <w:p>
      <w:pPr>
        <w:pStyle w:val="173"/>
        <w:ind w:left="105" w:leftChars="50" w:firstLine="420"/>
        <w:contextualSpacing/>
        <w:rPr>
          <w:rFonts w:ascii="宋体" w:hAnsi="宋体"/>
          <w:sz w:val="21"/>
          <w:szCs w:val="21"/>
        </w:rPr>
      </w:pPr>
      <w:r>
        <w:rPr>
          <w:rFonts w:hint="eastAsia" w:ascii="宋体" w:hAnsi="宋体"/>
          <w:sz w:val="21"/>
          <w:szCs w:val="21"/>
        </w:rPr>
        <w:t>（5）乙方偿付的违约金不足以弥补甲方损失的，还应按甲方损失尚未弥补的部分，支付赔偿金给甲方。</w:t>
      </w:r>
    </w:p>
    <w:p>
      <w:pPr>
        <w:spacing w:line="400" w:lineRule="exact"/>
        <w:ind w:left="105" w:leftChars="50" w:firstLine="422" w:firstLineChars="200"/>
        <w:contextualSpacing/>
        <w:rPr>
          <w:rFonts w:ascii="宋体" w:hAnsi="宋体"/>
          <w:b/>
          <w:szCs w:val="21"/>
        </w:rPr>
      </w:pPr>
      <w:bookmarkStart w:id="211" w:name="_Toc217446114"/>
      <w:r>
        <w:rPr>
          <w:rFonts w:hint="eastAsia" w:ascii="宋体" w:hAnsi="宋体"/>
          <w:b/>
          <w:szCs w:val="21"/>
        </w:rPr>
        <w:t>九、争议解决办法</w:t>
      </w:r>
      <w:bookmarkEnd w:id="211"/>
    </w:p>
    <w:p>
      <w:pPr>
        <w:pStyle w:val="173"/>
        <w:ind w:left="105" w:leftChars="50" w:firstLine="420"/>
        <w:contextualSpacing/>
        <w:rPr>
          <w:rFonts w:ascii="宋体" w:hAnsi="宋体"/>
          <w:sz w:val="21"/>
          <w:szCs w:val="21"/>
        </w:rPr>
      </w:pPr>
      <w:r>
        <w:rPr>
          <w:rFonts w:hint="eastAsia" w:ascii="宋体" w:hAnsi="宋体"/>
          <w:sz w:val="21"/>
          <w:szCs w:val="21"/>
        </w:rPr>
        <w:t>1、因货物的质量问题发生争议，由质量技术监督部门或其指定的质量鉴定机构进行质量鉴定。货物符合标准的，鉴定费由甲方承担；货物不符合质量标准的，鉴定费由乙方承担。</w:t>
      </w:r>
    </w:p>
    <w:p>
      <w:pPr>
        <w:pStyle w:val="173"/>
        <w:ind w:left="105" w:leftChars="50" w:firstLine="420"/>
        <w:contextualSpacing/>
        <w:rPr>
          <w:rFonts w:ascii="宋体" w:hAnsi="宋体"/>
          <w:sz w:val="21"/>
          <w:szCs w:val="21"/>
        </w:rPr>
      </w:pPr>
      <w:r>
        <w:rPr>
          <w:rFonts w:hint="eastAsia" w:ascii="宋体" w:hAnsi="宋体"/>
          <w:sz w:val="21"/>
          <w:szCs w:val="21"/>
        </w:rPr>
        <w:t>2、合同履行期间,若双方发生争议，可协商或由有关部门调解解决，协商或调解不成的，由甲方所在地人民法院管辖。</w:t>
      </w:r>
    </w:p>
    <w:p>
      <w:pPr>
        <w:spacing w:line="400" w:lineRule="exact"/>
        <w:ind w:left="105" w:leftChars="50" w:firstLine="310" w:firstLineChars="147"/>
        <w:contextualSpacing/>
        <w:rPr>
          <w:rFonts w:ascii="宋体" w:hAnsi="宋体"/>
          <w:b/>
          <w:szCs w:val="21"/>
        </w:rPr>
      </w:pPr>
      <w:bookmarkStart w:id="212" w:name="_Toc217446115"/>
      <w:r>
        <w:rPr>
          <w:rFonts w:hint="eastAsia" w:ascii="宋体" w:hAnsi="宋体"/>
          <w:b/>
          <w:szCs w:val="21"/>
        </w:rPr>
        <w:t>十、其他</w:t>
      </w:r>
      <w:bookmarkEnd w:id="212"/>
    </w:p>
    <w:p>
      <w:pPr>
        <w:pStyle w:val="173"/>
        <w:ind w:left="105" w:leftChars="50" w:firstLine="420"/>
        <w:contextualSpacing/>
        <w:rPr>
          <w:rFonts w:ascii="宋体" w:hAnsi="宋体"/>
          <w:sz w:val="21"/>
          <w:szCs w:val="21"/>
        </w:rPr>
      </w:pPr>
      <w:r>
        <w:rPr>
          <w:rFonts w:hint="eastAsia" w:ascii="宋体" w:hAnsi="宋体"/>
          <w:sz w:val="21"/>
          <w:szCs w:val="21"/>
        </w:rPr>
        <w:t>1、如有未尽事宜，由双方依法订立补充合同。</w:t>
      </w:r>
    </w:p>
    <w:p>
      <w:pPr>
        <w:pStyle w:val="173"/>
        <w:ind w:left="105" w:leftChars="50" w:firstLine="420"/>
        <w:contextualSpacing/>
        <w:rPr>
          <w:rFonts w:ascii="宋体" w:hAnsi="宋体"/>
          <w:sz w:val="21"/>
          <w:szCs w:val="21"/>
        </w:rPr>
      </w:pPr>
      <w:r>
        <w:rPr>
          <w:rFonts w:hint="eastAsia" w:ascii="宋体" w:hAnsi="宋体"/>
          <w:sz w:val="21"/>
          <w:szCs w:val="21"/>
        </w:rPr>
        <w:t>2、本合同一式六份，自双方签章之日起生效。甲方五份，乙方一份。</w:t>
      </w:r>
    </w:p>
    <w:p>
      <w:pPr>
        <w:spacing w:line="400" w:lineRule="exact"/>
        <w:ind w:left="105" w:leftChars="50" w:firstLine="420" w:firstLineChars="200"/>
        <w:contextualSpacing/>
        <w:rPr>
          <w:rFonts w:ascii="宋体" w:hAnsi="宋体"/>
          <w:szCs w:val="21"/>
        </w:rPr>
      </w:pPr>
    </w:p>
    <w:p>
      <w:pPr>
        <w:spacing w:line="400" w:lineRule="exact"/>
        <w:ind w:left="105" w:leftChars="50" w:firstLine="420" w:firstLineChars="200"/>
        <w:contextualSpacing/>
        <w:rPr>
          <w:rFonts w:ascii="宋体" w:hAnsi="宋体"/>
          <w:szCs w:val="21"/>
        </w:rPr>
      </w:pPr>
      <w:r>
        <w:rPr>
          <w:rFonts w:hint="eastAsia" w:ascii="宋体" w:hAnsi="宋体"/>
          <w:szCs w:val="21"/>
        </w:rPr>
        <w:t xml:space="preserve">甲方：   （盖章）   </w:t>
      </w:r>
      <w:r>
        <w:rPr>
          <w:rFonts w:hint="eastAsia" w:ascii="宋体" w:hAnsi="宋体"/>
          <w:szCs w:val="21"/>
        </w:rPr>
        <w:tab/>
      </w:r>
      <w:r>
        <w:rPr>
          <w:rFonts w:hint="eastAsia" w:ascii="宋体" w:hAnsi="宋体"/>
          <w:szCs w:val="21"/>
        </w:rPr>
        <w:tab/>
      </w:r>
      <w:r>
        <w:rPr>
          <w:rFonts w:hint="eastAsia" w:ascii="宋体" w:hAnsi="宋体"/>
          <w:szCs w:val="21"/>
        </w:rPr>
        <w:tab/>
      </w:r>
      <w:r>
        <w:rPr>
          <w:rFonts w:hint="eastAsia" w:ascii="宋体" w:hAnsi="宋体"/>
          <w:szCs w:val="21"/>
        </w:rPr>
        <w:t xml:space="preserve">       乙方：   （盖章）</w:t>
      </w:r>
    </w:p>
    <w:p>
      <w:pPr>
        <w:spacing w:line="400" w:lineRule="exact"/>
        <w:ind w:left="105" w:leftChars="50" w:firstLine="420" w:firstLineChars="200"/>
        <w:contextualSpacing/>
        <w:rPr>
          <w:rFonts w:ascii="宋体" w:hAnsi="宋体"/>
          <w:szCs w:val="21"/>
        </w:rPr>
      </w:pPr>
      <w:r>
        <w:rPr>
          <w:rFonts w:hint="eastAsia" w:ascii="宋体" w:hAnsi="宋体"/>
          <w:szCs w:val="21"/>
        </w:rPr>
        <w:t>法定代表人（授权代表）：               法定代表人（授权代表）：</w:t>
      </w:r>
    </w:p>
    <w:p>
      <w:pPr>
        <w:spacing w:line="400" w:lineRule="exact"/>
        <w:ind w:left="105" w:leftChars="50" w:firstLine="420" w:firstLineChars="200"/>
        <w:contextualSpacing/>
        <w:rPr>
          <w:rFonts w:ascii="宋体" w:hAnsi="宋体"/>
          <w:szCs w:val="21"/>
        </w:rPr>
      </w:pPr>
      <w:r>
        <w:rPr>
          <w:rFonts w:hint="eastAsia" w:ascii="宋体" w:hAnsi="宋体"/>
          <w:szCs w:val="21"/>
        </w:rPr>
        <w:t>地    址：                            地    址：</w:t>
      </w:r>
    </w:p>
    <w:p>
      <w:pPr>
        <w:spacing w:line="400" w:lineRule="exact"/>
        <w:ind w:left="105" w:leftChars="50" w:firstLine="1470" w:firstLineChars="700"/>
        <w:contextualSpacing/>
        <w:rPr>
          <w:rFonts w:ascii="宋体" w:hAnsi="宋体"/>
          <w:szCs w:val="21"/>
        </w:rPr>
      </w:pPr>
      <w:r>
        <w:rPr>
          <w:rFonts w:hint="eastAsia" w:ascii="宋体" w:hAnsi="宋体"/>
          <w:szCs w:val="21"/>
        </w:rPr>
        <w:t xml:space="preserve">                            开户银行：</w:t>
      </w:r>
    </w:p>
    <w:p>
      <w:pPr>
        <w:spacing w:line="400" w:lineRule="exact"/>
        <w:ind w:left="105" w:leftChars="50" w:firstLine="420" w:firstLineChars="200"/>
        <w:contextualSpacing/>
        <w:rPr>
          <w:rFonts w:ascii="宋体" w:hAnsi="宋体"/>
          <w:szCs w:val="21"/>
        </w:rPr>
      </w:pPr>
      <w:r>
        <w:rPr>
          <w:rFonts w:hint="eastAsia" w:ascii="宋体" w:hAnsi="宋体"/>
          <w:szCs w:val="21"/>
        </w:rPr>
        <w:t xml:space="preserve">                                      账号：</w:t>
      </w:r>
    </w:p>
    <w:p>
      <w:pPr>
        <w:spacing w:line="400" w:lineRule="exact"/>
        <w:ind w:left="105" w:leftChars="50" w:firstLine="420" w:firstLineChars="200"/>
        <w:contextualSpacing/>
      </w:pPr>
      <w:r>
        <w:rPr>
          <w:rFonts w:hint="eastAsia" w:ascii="宋体" w:hAnsi="宋体"/>
          <w:szCs w:val="21"/>
        </w:rPr>
        <w:t xml:space="preserve">签约日期：XX年XX月XX日 </w:t>
      </w:r>
      <w:r>
        <w:rPr>
          <w:rFonts w:hint="eastAsia" w:ascii="宋体" w:hAnsi="宋体"/>
          <w:szCs w:val="21"/>
        </w:rPr>
        <w:tab/>
      </w:r>
      <w:r>
        <w:rPr>
          <w:rFonts w:hint="eastAsia" w:ascii="宋体" w:hAnsi="宋体"/>
          <w:szCs w:val="21"/>
        </w:rPr>
        <w:tab/>
      </w:r>
      <w:r>
        <w:rPr>
          <w:rFonts w:hint="eastAsia" w:ascii="宋体" w:hAnsi="宋体"/>
          <w:szCs w:val="21"/>
        </w:rPr>
        <w:tab/>
      </w:r>
      <w:r>
        <w:rPr>
          <w:rFonts w:hint="eastAsia" w:ascii="宋体" w:hAnsi="宋体"/>
          <w:szCs w:val="21"/>
        </w:rPr>
        <w:t xml:space="preserve">   签约日期：XX年XX月X</w:t>
      </w:r>
    </w:p>
    <w:sectPr>
      <w:pgSz w:w="11906" w:h="16838"/>
      <w:pgMar w:top="1247" w:right="1106" w:bottom="1418" w:left="1259"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altName w:val="MT Extra"/>
    <w:panose1 w:val="05000000000000000000"/>
    <w:charset w:val="02"/>
    <w:family w:val="auto"/>
    <w:pitch w:val="default"/>
    <w:sig w:usb0="00000000" w:usb1="00000000" w:usb2="00000000" w:usb3="00000000" w:csb0="80000000" w:csb1="00000000"/>
  </w:font>
  <w:font w:name="Arial">
    <w:altName w:val="Microsoft Sans Serif"/>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00000001" w:usb1="080E0000" w:usb2="00000000" w:usb3="00000000" w:csb0="00040000" w:csb1="00000000"/>
  </w:font>
  <w:font w:name="Courier New">
    <w:altName w:val="PMingLiU"/>
    <w:panose1 w:val="02070309020205020404"/>
    <w:charset w:val="01"/>
    <w:family w:val="modern"/>
    <w:pitch w:val="default"/>
    <w:sig w:usb0="E0002AFF" w:usb1="C0007843" w:usb2="00000009" w:usb3="00000000" w:csb0="400001FF" w:csb1="FFFF0000"/>
  </w:font>
  <w:font w:name="Symbol">
    <w:altName w:val="MT Extra"/>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09F" w:csb1="00000000"/>
  </w:font>
  <w:font w:name="Calibri">
    <w:panose1 w:val="020F0502020204030204"/>
    <w:charset w:val="00"/>
    <w:family w:val="swiss"/>
    <w:pitch w:val="default"/>
    <w:sig w:usb0="A00002EF" w:usb1="4000207B" w:usb2="00000000" w:usb3="00000000" w:csb0="2000009F" w:csb1="00000000"/>
  </w:font>
  <w:font w:name="MingLiU">
    <w:panose1 w:val="02020309000000000000"/>
    <w:charset w:val="88"/>
    <w:family w:val="auto"/>
    <w:pitch w:val="default"/>
    <w:sig w:usb0="00000003" w:usb1="082E0000" w:usb2="00000016" w:usb3="00000000" w:csb0="00100001" w:csb1="00000000"/>
  </w:font>
  <w:font w:name="MT Extra">
    <w:panose1 w:val="05050102010205020202"/>
    <w:charset w:val="00"/>
    <w:family w:val="auto"/>
    <w:pitch w:val="default"/>
    <w:sig w:usb0="80000000" w:usb1="00000000" w:usb2="00000000" w:usb3="00000000" w:csb0="00000000" w:csb1="00000000"/>
  </w:font>
  <w:font w:name="Microsoft Sans Serif">
    <w:panose1 w:val="020B0604020202020204"/>
    <w:charset w:val="00"/>
    <w:family w:val="auto"/>
    <w:pitch w:val="default"/>
    <w:sig w:usb0="61007BDF" w:usb1="80000000" w:usb2="00000008" w:usb3="00000000" w:csb0="200101FF" w:csb1="20280000"/>
  </w:font>
  <w:font w:name="PMingLiU">
    <w:panose1 w:val="02020300000000000000"/>
    <w:charset w:val="88"/>
    <w:family w:val="auto"/>
    <w:pitch w:val="default"/>
    <w:sig w:usb0="00000003" w:usb1="082E0000" w:usb2="00000016" w:usb3="00000000" w:csb0="00100001" w:csb1="00000000"/>
  </w:font>
  <w:font w:name="Arial">
    <w:altName w:val="Microsoft Sans Serif"/>
    <w:panose1 w:val="020B0604020202020204"/>
    <w:charset w:val="00"/>
    <w:family w:val="swiss"/>
    <w:pitch w:val="default"/>
    <w:sig w:usb0="00000000" w:usb1="00000000" w:usb2="00000009" w:usb3="00000000" w:csb0="000001FF" w:csb1="00000000"/>
  </w:font>
  <w:font w:name="Courier New">
    <w:altName w:val="Consolas"/>
    <w:panose1 w:val="02070309020205020404"/>
    <w:charset w:val="00"/>
    <w:family w:val="modern"/>
    <w:pitch w:val="default"/>
    <w:sig w:usb0="00000000" w:usb1="00000000" w:usb2="00000009" w:usb3="00000000" w:csb0="000001FF" w:csb1="00000000"/>
  </w:font>
  <w:font w:name="Verdana">
    <w:altName w:val="Tahoma"/>
    <w:panose1 w:val="020B0604030504040204"/>
    <w:charset w:val="00"/>
    <w:family w:val="swiss"/>
    <w:pitch w:val="default"/>
    <w:sig w:usb0="00000000" w:usb1="00000000" w:usb2="00000010" w:usb3="00000000" w:csb0="0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61007A87" w:usb1="80000000" w:usb2="00000008" w:usb3="00000000" w:csb0="200101FF" w:csb1="20280000"/>
  </w:font>
  <w:font w:name="Helvetica">
    <w:altName w:val="Microsoft Sans Serif"/>
    <w:panose1 w:val="020B0604020202020204"/>
    <w:charset w:val="00"/>
    <w:family w:val="swiss"/>
    <w:pitch w:val="default"/>
    <w:sig w:usb0="00000000" w:usb1="00000000" w:usb2="00000000" w:usb3="00000000" w:csb0="00000001" w:csb1="00000000"/>
  </w:font>
  <w:font w:name="ヒラギノ角ゴ Pro W3">
    <w:altName w:val="微软雅黑"/>
    <w:panose1 w:val="00000000000000000000"/>
    <w:charset w:val="00"/>
    <w:family w:val="roman"/>
    <w:pitch w:val="default"/>
    <w:sig w:usb0="00000000" w:usb1="00000000" w:usb2="00000000" w:usb3="00000000" w:csb0="00040001" w:csb1="00000000"/>
  </w:font>
  <w:font w:name="方正大黑简体">
    <w:altName w:val="黑体"/>
    <w:panose1 w:val="00000000000000000000"/>
    <w:charset w:val="86"/>
    <w:family w:val="script"/>
    <w:pitch w:val="default"/>
    <w:sig w:usb0="00000000" w:usb1="00000000" w:usb2="00000000" w:usb3="00000000" w:csb0="00040000" w:csb1="00000000"/>
  </w:font>
  <w:font w:name="Univers LT Std 45 Light">
    <w:altName w:val="微软雅黑"/>
    <w:panose1 w:val="00000000000000000000"/>
    <w:charset w:val="86"/>
    <w:family w:val="swiss"/>
    <w:pitch w:val="default"/>
    <w:sig w:usb0="00000000" w:usb1="00000000" w:usb2="00000010" w:usb3="00000000" w:csb0="00040000" w:csb1="00000000"/>
  </w:font>
  <w:font w:name="MS Gothic">
    <w:panose1 w:val="020B0609070205080204"/>
    <w:charset w:val="80"/>
    <w:family w:val="modern"/>
    <w:pitch w:val="default"/>
    <w:sig w:usb0="A00002BF" w:usb1="68C7FCFB" w:usb2="00000010" w:usb3="00000000" w:csb0="4002009F" w:csb1="DFD70000"/>
  </w:font>
  <w:font w:name="Consolas">
    <w:panose1 w:val="020B0609020204030204"/>
    <w:charset w:val="00"/>
    <w:family w:val="auto"/>
    <w:pitch w:val="default"/>
    <w:sig w:usb0="A00002EF" w:usb1="4000204B" w:usb2="00000000" w:usb3="00000000" w:csb0="2000009F" w:csb1="00000000"/>
  </w:font>
  <w:font w:name="微软雅黑">
    <w:panose1 w:val="020B0503020204020204"/>
    <w:charset w:val="86"/>
    <w:family w:val="auto"/>
    <w:pitch w:val="default"/>
    <w:sig w:usb0="80000287" w:usb1="2A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3"/>
      <w:jc w:val="center"/>
    </w:pPr>
    <w:r>
      <w:fldChar w:fldCharType="begin"/>
    </w:r>
    <w:r>
      <w:instrText xml:space="preserve"> PAGE   \* MERGEFORMAT </w:instrText>
    </w:r>
    <w:r>
      <w:fldChar w:fldCharType="separate"/>
    </w:r>
    <w:r>
      <w:rPr>
        <w:lang w:val="zh-CN"/>
      </w:rPr>
      <w:t>39</w:t>
    </w:r>
    <w:r>
      <w:rPr>
        <w:lang w:val="zh-CN"/>
      </w:rPr>
      <w:fldChar w:fldCharType="end"/>
    </w:r>
  </w:p>
  <w:p>
    <w:pPr>
      <w:pStyle w:val="33"/>
      <w:jc w:val="cente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tentative="0">
      <w:start w:val="1"/>
      <w:numFmt w:val="decimal"/>
      <w:pStyle w:val="290"/>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0000000D"/>
    <w:multiLevelType w:val="multilevel"/>
    <w:tmpl w:val="0000000D"/>
    <w:lvl w:ilvl="0" w:tentative="0">
      <w:start w:val="1"/>
      <w:numFmt w:val="decimal"/>
      <w:pStyle w:val="289"/>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1C8974F8"/>
    <w:multiLevelType w:val="multilevel"/>
    <w:tmpl w:val="1C8974F8"/>
    <w:lvl w:ilvl="0" w:tentative="0">
      <w:start w:val="1"/>
      <w:numFmt w:val="decimal"/>
      <w:pStyle w:val="292"/>
      <w:lvlText w:val="%1."/>
      <w:lvlJc w:val="left"/>
      <w:pPr>
        <w:tabs>
          <w:tab w:val="left" w:pos="425"/>
        </w:tabs>
        <w:ind w:left="425" w:hanging="425"/>
      </w:pPr>
    </w:lvl>
    <w:lvl w:ilvl="1" w:tentative="0">
      <w:start w:val="1"/>
      <w:numFmt w:val="decimal"/>
      <w:lvlText w:val="%1.%2."/>
      <w:lvlJc w:val="left"/>
      <w:pPr>
        <w:tabs>
          <w:tab w:val="left" w:pos="567"/>
        </w:tabs>
        <w:ind w:left="567" w:hanging="567"/>
      </w:pPr>
    </w:lvl>
    <w:lvl w:ilvl="2" w:tentative="0">
      <w:start w:val="1"/>
      <w:numFmt w:val="decimal"/>
      <w:lvlText w:val="%1.%2.%3."/>
      <w:lvlJc w:val="left"/>
      <w:pPr>
        <w:tabs>
          <w:tab w:val="left" w:pos="709"/>
        </w:tabs>
        <w:ind w:left="709" w:hanging="709"/>
      </w:pPr>
    </w:lvl>
    <w:lvl w:ilvl="3" w:tentative="0">
      <w:start w:val="1"/>
      <w:numFmt w:val="decimal"/>
      <w:lvlText w:val="%1.%2.%3.%4."/>
      <w:lvlJc w:val="left"/>
      <w:pPr>
        <w:tabs>
          <w:tab w:val="left" w:pos="851"/>
        </w:tabs>
        <w:ind w:left="851" w:hanging="851"/>
      </w:pPr>
    </w:lvl>
    <w:lvl w:ilvl="4" w:tentative="0">
      <w:start w:val="1"/>
      <w:numFmt w:val="decimal"/>
      <w:lvlText w:val="%1.%2.%3.%4.%5."/>
      <w:lvlJc w:val="left"/>
      <w:pPr>
        <w:tabs>
          <w:tab w:val="left" w:pos="992"/>
        </w:tabs>
        <w:ind w:left="992" w:hanging="992"/>
      </w:p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3">
    <w:nsid w:val="228465EE"/>
    <w:multiLevelType w:val="multilevel"/>
    <w:tmpl w:val="228465EE"/>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420"/>
        </w:tabs>
        <w:ind w:left="420" w:hanging="420"/>
      </w:pPr>
      <w:rPr>
        <w:rFonts w:hint="default"/>
      </w:rPr>
    </w:lvl>
    <w:lvl w:ilvl="2" w:tentative="0">
      <w:start w:val="1"/>
      <w:numFmt w:val="decimal"/>
      <w:isLgl/>
      <w:lvlText w:val="%1.%2.%3"/>
      <w:lvlJc w:val="left"/>
      <w:pPr>
        <w:tabs>
          <w:tab w:val="left" w:pos="720"/>
        </w:tabs>
        <w:ind w:left="720" w:hanging="720"/>
      </w:pPr>
      <w:rPr>
        <w:rFonts w:hint="default"/>
      </w:rPr>
    </w:lvl>
    <w:lvl w:ilvl="3" w:tentative="0">
      <w:start w:val="1"/>
      <w:numFmt w:val="decimal"/>
      <w:pStyle w:val="265"/>
      <w:isLgl/>
      <w:lvlText w:val="%1.%2.%3.%4"/>
      <w:lvlJc w:val="left"/>
      <w:pPr>
        <w:tabs>
          <w:tab w:val="left" w:pos="720"/>
        </w:tabs>
        <w:ind w:left="720" w:hanging="720"/>
      </w:pPr>
      <w:rPr>
        <w:rFonts w:hint="default"/>
      </w:rPr>
    </w:lvl>
    <w:lvl w:ilvl="4" w:tentative="0">
      <w:start w:val="1"/>
      <w:numFmt w:val="decimal"/>
      <w:isLgl/>
      <w:lvlText w:val="%1.%2.%3.%4.%5"/>
      <w:lvlJc w:val="left"/>
      <w:pPr>
        <w:tabs>
          <w:tab w:val="left" w:pos="1080"/>
        </w:tabs>
        <w:ind w:left="1080" w:hanging="1080"/>
      </w:pPr>
      <w:rPr>
        <w:rFonts w:hint="default"/>
      </w:rPr>
    </w:lvl>
    <w:lvl w:ilvl="5" w:tentative="0">
      <w:start w:val="1"/>
      <w:numFmt w:val="decimal"/>
      <w:isLgl/>
      <w:lvlText w:val="%1.%2.%3.%4.%5.%6"/>
      <w:lvlJc w:val="left"/>
      <w:pPr>
        <w:tabs>
          <w:tab w:val="left" w:pos="1440"/>
        </w:tabs>
        <w:ind w:left="1440" w:hanging="1440"/>
      </w:pPr>
      <w:rPr>
        <w:rFonts w:hint="default"/>
      </w:rPr>
    </w:lvl>
    <w:lvl w:ilvl="6" w:tentative="0">
      <w:start w:val="1"/>
      <w:numFmt w:val="decimal"/>
      <w:isLgl/>
      <w:lvlText w:val="%1.%2.%3.%4.%5.%6.%7"/>
      <w:lvlJc w:val="left"/>
      <w:pPr>
        <w:tabs>
          <w:tab w:val="left" w:pos="1440"/>
        </w:tabs>
        <w:ind w:left="1440" w:hanging="1440"/>
      </w:pPr>
      <w:rPr>
        <w:rFonts w:hint="default"/>
      </w:rPr>
    </w:lvl>
    <w:lvl w:ilvl="7" w:tentative="0">
      <w:start w:val="1"/>
      <w:numFmt w:val="decimal"/>
      <w:isLgl/>
      <w:lvlText w:val="%1.%2.%3.%4.%5.%6.%7.%8"/>
      <w:lvlJc w:val="left"/>
      <w:pPr>
        <w:tabs>
          <w:tab w:val="left" w:pos="1800"/>
        </w:tabs>
        <w:ind w:left="1800" w:hanging="1800"/>
      </w:pPr>
      <w:rPr>
        <w:rFonts w:hint="default"/>
      </w:rPr>
    </w:lvl>
    <w:lvl w:ilvl="8" w:tentative="0">
      <w:start w:val="1"/>
      <w:numFmt w:val="decimal"/>
      <w:isLgl/>
      <w:lvlText w:val="%1.%2.%3.%4.%5.%6.%7.%8.%9"/>
      <w:lvlJc w:val="left"/>
      <w:pPr>
        <w:tabs>
          <w:tab w:val="left" w:pos="1800"/>
        </w:tabs>
        <w:ind w:left="1800" w:hanging="1800"/>
      </w:pPr>
      <w:rPr>
        <w:rFonts w:hint="default"/>
      </w:rPr>
    </w:lvl>
  </w:abstractNum>
  <w:abstractNum w:abstractNumId="4">
    <w:nsid w:val="26B81276"/>
    <w:multiLevelType w:val="multilevel"/>
    <w:tmpl w:val="26B81276"/>
    <w:lvl w:ilvl="0" w:tentative="0">
      <w:start w:val="1"/>
      <w:numFmt w:val="decimal"/>
      <w:pStyle w:val="272"/>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5">
    <w:nsid w:val="2DF30686"/>
    <w:multiLevelType w:val="multilevel"/>
    <w:tmpl w:val="2DF30686"/>
    <w:lvl w:ilvl="0" w:tentative="0">
      <w:start w:val="1"/>
      <w:numFmt w:val="decimal"/>
      <w:pStyle w:val="273"/>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6">
    <w:nsid w:val="35A35ED8"/>
    <w:multiLevelType w:val="multilevel"/>
    <w:tmpl w:val="35A35ED8"/>
    <w:lvl w:ilvl="0" w:tentative="0">
      <w:start w:val="1"/>
      <w:numFmt w:val="decimalEnclosedCircle"/>
      <w:lvlText w:val="%1"/>
      <w:lvlJc w:val="left"/>
      <w:pPr>
        <w:ind w:left="720" w:hanging="360"/>
      </w:pPr>
      <w:rPr>
        <w:rFonts w:hint="default"/>
        <w:sz w:val="24"/>
      </w:rPr>
    </w:lvl>
    <w:lvl w:ilvl="1" w:tentative="0">
      <w:start w:val="1"/>
      <w:numFmt w:val="lowerLetter"/>
      <w:lvlText w:val="%2)"/>
      <w:lvlJc w:val="left"/>
      <w:pPr>
        <w:ind w:left="1200" w:hanging="420"/>
      </w:pPr>
    </w:lvl>
    <w:lvl w:ilvl="2" w:tentative="0">
      <w:start w:val="1"/>
      <w:numFmt w:val="lowerRoman"/>
      <w:pStyle w:val="301"/>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7">
    <w:nsid w:val="407E65F9"/>
    <w:multiLevelType w:val="multilevel"/>
    <w:tmpl w:val="407E65F9"/>
    <w:lvl w:ilvl="0" w:tentative="0">
      <w:start w:val="1"/>
      <w:numFmt w:val="none"/>
      <w:pStyle w:val="268"/>
      <w:lvlText w:val="%1·　"/>
      <w:lvlJc w:val="left"/>
      <w:pPr>
        <w:tabs>
          <w:tab w:val="left" w:pos="1140"/>
        </w:tabs>
        <w:ind w:left="737" w:hanging="317"/>
      </w:pPr>
      <w:rPr>
        <w:rFonts w:hint="eastAsia" w:ascii="宋体" w:hAnsi="Times New Roman" w:eastAsia="宋体"/>
        <w:b w:val="0"/>
        <w:i w:val="0"/>
        <w:sz w:val="21"/>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8">
    <w:nsid w:val="4F954DE4"/>
    <w:multiLevelType w:val="multilevel"/>
    <w:tmpl w:val="4F954DE4"/>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420"/>
        </w:tabs>
        <w:ind w:left="420" w:hanging="420"/>
      </w:pPr>
      <w:rPr>
        <w:rFonts w:hint="default" w:ascii="宋体" w:hAnsi="宋体" w:cs="Times New Roman"/>
      </w:rPr>
    </w:lvl>
    <w:lvl w:ilvl="2" w:tentative="0">
      <w:start w:val="1"/>
      <w:numFmt w:val="decimal"/>
      <w:isLgl/>
      <w:lvlText w:val="%1.%2.%3"/>
      <w:lvlJc w:val="left"/>
      <w:pPr>
        <w:tabs>
          <w:tab w:val="left" w:pos="720"/>
        </w:tabs>
        <w:ind w:left="720" w:hanging="720"/>
      </w:pPr>
      <w:rPr>
        <w:rFonts w:hint="default" w:ascii="宋体" w:hAnsi="宋体" w:cs="Times New Roman"/>
      </w:rPr>
    </w:lvl>
    <w:lvl w:ilvl="3" w:tentative="0">
      <w:start w:val="1"/>
      <w:numFmt w:val="decimal"/>
      <w:isLgl/>
      <w:lvlText w:val="%1.%2.%3.%4"/>
      <w:lvlJc w:val="left"/>
      <w:pPr>
        <w:tabs>
          <w:tab w:val="left" w:pos="720"/>
        </w:tabs>
        <w:ind w:left="720" w:hanging="720"/>
      </w:pPr>
      <w:rPr>
        <w:rFonts w:hint="default" w:ascii="宋体" w:hAnsi="宋体" w:cs="Times New Roman"/>
      </w:rPr>
    </w:lvl>
    <w:lvl w:ilvl="4" w:tentative="0">
      <w:start w:val="1"/>
      <w:numFmt w:val="decimal"/>
      <w:pStyle w:val="269"/>
      <w:isLgl/>
      <w:lvlText w:val="%1.%2.%3.%4.%5"/>
      <w:lvlJc w:val="left"/>
      <w:pPr>
        <w:tabs>
          <w:tab w:val="left" w:pos="1080"/>
        </w:tabs>
        <w:ind w:left="1080" w:hanging="1080"/>
      </w:pPr>
      <w:rPr>
        <w:rFonts w:hint="default" w:ascii="宋体" w:hAnsi="宋体" w:cs="Times New Roman"/>
      </w:rPr>
    </w:lvl>
    <w:lvl w:ilvl="5" w:tentative="0">
      <w:start w:val="1"/>
      <w:numFmt w:val="decimal"/>
      <w:isLgl/>
      <w:lvlText w:val="%1.%2.%3.%4.%5.%6"/>
      <w:lvlJc w:val="left"/>
      <w:pPr>
        <w:tabs>
          <w:tab w:val="left" w:pos="1440"/>
        </w:tabs>
        <w:ind w:left="1440" w:hanging="1440"/>
      </w:pPr>
      <w:rPr>
        <w:rFonts w:hint="default" w:ascii="宋体" w:hAnsi="宋体" w:cs="Times New Roman"/>
      </w:rPr>
    </w:lvl>
    <w:lvl w:ilvl="6" w:tentative="0">
      <w:start w:val="1"/>
      <w:numFmt w:val="decimal"/>
      <w:isLgl/>
      <w:lvlText w:val="%1.%2.%3.%4.%5.%6.%7"/>
      <w:lvlJc w:val="left"/>
      <w:pPr>
        <w:tabs>
          <w:tab w:val="left" w:pos="1440"/>
        </w:tabs>
        <w:ind w:left="1440" w:hanging="1440"/>
      </w:pPr>
      <w:rPr>
        <w:rFonts w:hint="default" w:ascii="宋体" w:hAnsi="宋体" w:cs="Times New Roman"/>
      </w:rPr>
    </w:lvl>
    <w:lvl w:ilvl="7" w:tentative="0">
      <w:start w:val="1"/>
      <w:numFmt w:val="decimal"/>
      <w:isLgl/>
      <w:lvlText w:val="%1.%2.%3.%4.%5.%6.%7.%8"/>
      <w:lvlJc w:val="left"/>
      <w:pPr>
        <w:tabs>
          <w:tab w:val="left" w:pos="1800"/>
        </w:tabs>
        <w:ind w:left="1800" w:hanging="1800"/>
      </w:pPr>
      <w:rPr>
        <w:rFonts w:hint="default" w:ascii="宋体" w:hAnsi="宋体" w:cs="Times New Roman"/>
      </w:rPr>
    </w:lvl>
    <w:lvl w:ilvl="8" w:tentative="0">
      <w:start w:val="1"/>
      <w:numFmt w:val="decimal"/>
      <w:isLgl/>
      <w:lvlText w:val="%1.%2.%3.%4.%5.%6.%7.%8.%9"/>
      <w:lvlJc w:val="left"/>
      <w:pPr>
        <w:tabs>
          <w:tab w:val="left" w:pos="1800"/>
        </w:tabs>
        <w:ind w:left="1800" w:hanging="1800"/>
      </w:pPr>
      <w:rPr>
        <w:rFonts w:hint="default" w:ascii="宋体" w:hAnsi="宋体" w:cs="Times New Roman"/>
      </w:rPr>
    </w:lvl>
  </w:abstractNum>
  <w:abstractNum w:abstractNumId="9">
    <w:nsid w:val="55333CEC"/>
    <w:multiLevelType w:val="multilevel"/>
    <w:tmpl w:val="55333CEC"/>
    <w:lvl w:ilvl="0" w:tentative="0">
      <w:start w:val="1"/>
      <w:numFmt w:val="decimalEnclosedCircle"/>
      <w:pStyle w:val="280"/>
      <w:lvlText w:val="%1"/>
      <w:lvlJc w:val="left"/>
      <w:pPr>
        <w:ind w:left="900" w:hanging="360"/>
      </w:pPr>
      <w:rPr>
        <w:rFonts w:hint="default"/>
      </w:rPr>
    </w:lvl>
    <w:lvl w:ilvl="1" w:tentative="0">
      <w:start w:val="1"/>
      <w:numFmt w:val="lowerLetter"/>
      <w:lvlText w:val="%2)"/>
      <w:lvlJc w:val="left"/>
      <w:pPr>
        <w:ind w:left="1380" w:hanging="420"/>
      </w:pPr>
    </w:lvl>
    <w:lvl w:ilvl="2" w:tentative="0">
      <w:start w:val="1"/>
      <w:numFmt w:val="lowerRoman"/>
      <w:lvlText w:val="%3."/>
      <w:lvlJc w:val="right"/>
      <w:pPr>
        <w:ind w:left="1800" w:hanging="420"/>
      </w:pPr>
    </w:lvl>
    <w:lvl w:ilvl="3" w:tentative="0">
      <w:start w:val="1"/>
      <w:numFmt w:val="decimal"/>
      <w:lvlText w:val="%4."/>
      <w:lvlJc w:val="left"/>
      <w:pPr>
        <w:ind w:left="2220" w:hanging="420"/>
      </w:pPr>
    </w:lvl>
    <w:lvl w:ilvl="4" w:tentative="0">
      <w:start w:val="1"/>
      <w:numFmt w:val="lowerLetter"/>
      <w:lvlText w:val="%5)"/>
      <w:lvlJc w:val="left"/>
      <w:pPr>
        <w:ind w:left="2640" w:hanging="420"/>
      </w:pPr>
    </w:lvl>
    <w:lvl w:ilvl="5" w:tentative="0">
      <w:start w:val="1"/>
      <w:numFmt w:val="lowerRoman"/>
      <w:lvlText w:val="%6."/>
      <w:lvlJc w:val="right"/>
      <w:pPr>
        <w:ind w:left="3060" w:hanging="420"/>
      </w:pPr>
    </w:lvl>
    <w:lvl w:ilvl="6" w:tentative="0">
      <w:start w:val="1"/>
      <w:numFmt w:val="decimal"/>
      <w:lvlText w:val="%7."/>
      <w:lvlJc w:val="left"/>
      <w:pPr>
        <w:ind w:left="3480" w:hanging="420"/>
      </w:pPr>
    </w:lvl>
    <w:lvl w:ilvl="7" w:tentative="0">
      <w:start w:val="1"/>
      <w:numFmt w:val="lowerLetter"/>
      <w:lvlText w:val="%8)"/>
      <w:lvlJc w:val="left"/>
      <w:pPr>
        <w:ind w:left="3900" w:hanging="420"/>
      </w:pPr>
    </w:lvl>
    <w:lvl w:ilvl="8" w:tentative="0">
      <w:start w:val="1"/>
      <w:numFmt w:val="lowerRoman"/>
      <w:lvlText w:val="%9."/>
      <w:lvlJc w:val="right"/>
      <w:pPr>
        <w:ind w:left="4320" w:hanging="420"/>
      </w:pPr>
    </w:lvl>
  </w:abstractNum>
  <w:abstractNum w:abstractNumId="10">
    <w:nsid w:val="646260FA"/>
    <w:multiLevelType w:val="multilevel"/>
    <w:tmpl w:val="646260FA"/>
    <w:lvl w:ilvl="0" w:tentative="0">
      <w:start w:val="1"/>
      <w:numFmt w:val="decimal"/>
      <w:pStyle w:val="287"/>
      <w:suff w:val="nothing"/>
      <w:lvlText w:val="表%1　"/>
      <w:lvlJc w:val="left"/>
      <w:pPr>
        <w:ind w:left="3969" w:firstLine="0"/>
      </w:pPr>
      <w:rPr>
        <w:rFonts w:hint="eastAsia" w:ascii="黑体" w:hAnsi="Times New Roman" w:eastAsia="黑体"/>
        <w:b w:val="0"/>
        <w:i w:val="0"/>
        <w:sz w:val="21"/>
      </w:rPr>
    </w:lvl>
    <w:lvl w:ilvl="1" w:tentative="0">
      <w:start w:val="1"/>
      <w:numFmt w:val="decimal"/>
      <w:lvlText w:val="%1.%2"/>
      <w:lvlJc w:val="left"/>
      <w:pPr>
        <w:tabs>
          <w:tab w:val="left" w:pos="992"/>
        </w:tabs>
        <w:ind w:left="992" w:hanging="56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1">
    <w:nsid w:val="657D3FBC"/>
    <w:multiLevelType w:val="multilevel"/>
    <w:tmpl w:val="657D3FBC"/>
    <w:lvl w:ilvl="0" w:tentative="0">
      <w:start w:val="1"/>
      <w:numFmt w:val="upperLetter"/>
      <w:pStyle w:val="254"/>
      <w:suff w:val="nothing"/>
      <w:lvlText w:val="附　录　%1"/>
      <w:lvlJc w:val="left"/>
      <w:pPr>
        <w:ind w:left="0" w:firstLine="0"/>
      </w:pPr>
      <w:rPr>
        <w:rFonts w:hint="eastAsia" w:ascii="黑体" w:hAnsi="Times New Roman" w:eastAsia="黑体"/>
        <w:b w:val="0"/>
        <w:i w:val="0"/>
        <w:sz w:val="21"/>
      </w:rPr>
    </w:lvl>
    <w:lvl w:ilvl="1" w:tentative="0">
      <w:start w:val="1"/>
      <w:numFmt w:val="decimal"/>
      <w:pStyle w:val="256"/>
      <w:suff w:val="nothing"/>
      <w:lvlText w:val="%1.%2　"/>
      <w:lvlJc w:val="left"/>
      <w:pPr>
        <w:ind w:left="525" w:firstLine="0"/>
      </w:pPr>
      <w:rPr>
        <w:rFonts w:hint="eastAsia" w:ascii="黑体" w:hAnsi="Times New Roman" w:eastAsia="黑体"/>
        <w:b w:val="0"/>
        <w:i w:val="0"/>
        <w:snapToGrid/>
        <w:spacing w:val="0"/>
        <w:w w:val="100"/>
        <w:kern w:val="21"/>
        <w:sz w:val="21"/>
      </w:rPr>
    </w:lvl>
    <w:lvl w:ilvl="2" w:tentative="0">
      <w:start w:val="1"/>
      <w:numFmt w:val="decimal"/>
      <w:pStyle w:val="257"/>
      <w:suff w:val="nothing"/>
      <w:lvlText w:val="%1.%2.%3　"/>
      <w:lvlJc w:val="left"/>
      <w:pPr>
        <w:ind w:left="568" w:firstLine="0"/>
      </w:pPr>
      <w:rPr>
        <w:rFonts w:hint="eastAsia" w:ascii="黑体" w:hAnsi="Times New Roman" w:eastAsia="黑体"/>
        <w:b w:val="0"/>
        <w:i w:val="0"/>
        <w:sz w:val="21"/>
      </w:rPr>
    </w:lvl>
    <w:lvl w:ilvl="3" w:tentative="0">
      <w:start w:val="1"/>
      <w:numFmt w:val="decimal"/>
      <w:pStyle w:val="258"/>
      <w:suff w:val="nothing"/>
      <w:lvlText w:val="%1.%2.%3.%4　"/>
      <w:lvlJc w:val="left"/>
      <w:pPr>
        <w:ind w:left="710" w:firstLine="0"/>
      </w:pPr>
      <w:rPr>
        <w:rFonts w:hint="eastAsia" w:ascii="黑体" w:hAnsi="Times New Roman" w:eastAsia="黑体"/>
        <w:b w:val="0"/>
        <w:i w:val="0"/>
        <w:sz w:val="21"/>
      </w:rPr>
    </w:lvl>
    <w:lvl w:ilvl="4" w:tentative="0">
      <w:start w:val="1"/>
      <w:numFmt w:val="decimal"/>
      <w:pStyle w:val="259"/>
      <w:suff w:val="nothing"/>
      <w:lvlText w:val="%1.%2.%3.%4.%5　"/>
      <w:lvlJc w:val="left"/>
      <w:pPr>
        <w:ind w:left="0" w:firstLine="0"/>
      </w:pPr>
      <w:rPr>
        <w:rFonts w:hint="eastAsia" w:ascii="黑体" w:hAnsi="Times New Roman" w:eastAsia="黑体"/>
        <w:b w:val="0"/>
        <w:i w:val="0"/>
        <w:sz w:val="21"/>
      </w:rPr>
    </w:lvl>
    <w:lvl w:ilvl="5" w:tentative="0">
      <w:start w:val="1"/>
      <w:numFmt w:val="decimal"/>
      <w:pStyle w:val="260"/>
      <w:suff w:val="nothing"/>
      <w:lvlText w:val="%1.%2.%3.%4.%5.%6　"/>
      <w:lvlJc w:val="left"/>
      <w:pPr>
        <w:ind w:left="0" w:firstLine="0"/>
      </w:pPr>
      <w:rPr>
        <w:rFonts w:hint="eastAsia" w:ascii="黑体" w:hAnsi="Times New Roman" w:eastAsia="黑体"/>
        <w:b w:val="0"/>
        <w:i w:val="0"/>
        <w:sz w:val="21"/>
      </w:rPr>
    </w:lvl>
    <w:lvl w:ilvl="6" w:tentative="0">
      <w:start w:val="1"/>
      <w:numFmt w:val="decimal"/>
      <w:pStyle w:val="262"/>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2">
    <w:nsid w:val="6DBF04F4"/>
    <w:multiLevelType w:val="multilevel"/>
    <w:tmpl w:val="6DBF04F4"/>
    <w:lvl w:ilvl="0" w:tentative="0">
      <w:start w:val="1"/>
      <w:numFmt w:val="none"/>
      <w:pStyle w:val="288"/>
      <w:lvlText w:val="%1注："/>
      <w:lvlJc w:val="left"/>
      <w:pPr>
        <w:tabs>
          <w:tab w:val="left" w:pos="1140"/>
        </w:tabs>
        <w:ind w:left="840" w:hanging="420"/>
      </w:pPr>
      <w:rPr>
        <w:rFonts w:hint="eastAsia" w:ascii="宋体" w:hAnsi="Times New Roman" w:eastAsia="宋体"/>
        <w:b w:val="0"/>
        <w:i w:val="0"/>
        <w:sz w:val="18"/>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3">
    <w:nsid w:val="75B85D0D"/>
    <w:multiLevelType w:val="multilevel"/>
    <w:tmpl w:val="75B85D0D"/>
    <w:lvl w:ilvl="0" w:tentative="0">
      <w:start w:val="1"/>
      <w:numFmt w:val="decimal"/>
      <w:pStyle w:val="296"/>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4">
    <w:nsid w:val="76933334"/>
    <w:multiLevelType w:val="multilevel"/>
    <w:tmpl w:val="76933334"/>
    <w:lvl w:ilvl="0" w:tentative="0">
      <w:start w:val="1"/>
      <w:numFmt w:val="none"/>
      <w:pStyle w:val="267"/>
      <w:lvlText w:val="%1——"/>
      <w:lvlJc w:val="left"/>
      <w:pPr>
        <w:tabs>
          <w:tab w:val="left" w:pos="1140"/>
        </w:tabs>
        <w:ind w:left="840" w:hanging="420"/>
      </w:pPr>
      <w:rPr>
        <w:rFonts w:hint="eastAsia"/>
      </w:rPr>
    </w:lvl>
    <w:lvl w:ilvl="1" w:tentative="0">
      <w:start w:val="1"/>
      <w:numFmt w:val="lowerLetter"/>
      <w:pStyle w:val="245"/>
      <w:lvlText w:val="%2)"/>
      <w:lvlJc w:val="left"/>
      <w:pPr>
        <w:tabs>
          <w:tab w:val="left" w:pos="840"/>
        </w:tabs>
        <w:ind w:left="840" w:hanging="420"/>
      </w:pPr>
    </w:lvl>
    <w:lvl w:ilvl="2" w:tentative="0">
      <w:start w:val="1"/>
      <w:numFmt w:val="lowerRoman"/>
      <w:pStyle w:val="285"/>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794052E1"/>
    <w:multiLevelType w:val="multilevel"/>
    <w:tmpl w:val="794052E1"/>
    <w:lvl w:ilvl="0" w:tentative="0">
      <w:start w:val="1"/>
      <w:numFmt w:val="decimal"/>
      <w:pStyle w:val="291"/>
      <w:lvlText w:val="%1、"/>
      <w:lvlJc w:val="left"/>
      <w:pPr>
        <w:ind w:left="1192" w:hanging="720"/>
      </w:pPr>
      <w:rPr>
        <w:rFonts w:hint="default"/>
      </w:rPr>
    </w:lvl>
    <w:lvl w:ilvl="1" w:tentative="0">
      <w:start w:val="1"/>
      <w:numFmt w:val="lowerLetter"/>
      <w:lvlText w:val="%2)"/>
      <w:lvlJc w:val="left"/>
      <w:pPr>
        <w:ind w:left="1312" w:hanging="420"/>
      </w:pPr>
    </w:lvl>
    <w:lvl w:ilvl="2" w:tentative="0">
      <w:start w:val="1"/>
      <w:numFmt w:val="lowerRoman"/>
      <w:lvlText w:val="%3."/>
      <w:lvlJc w:val="right"/>
      <w:pPr>
        <w:ind w:left="1732" w:hanging="420"/>
      </w:pPr>
    </w:lvl>
    <w:lvl w:ilvl="3" w:tentative="0">
      <w:start w:val="1"/>
      <w:numFmt w:val="decimal"/>
      <w:lvlText w:val="%4."/>
      <w:lvlJc w:val="left"/>
      <w:pPr>
        <w:ind w:left="2152" w:hanging="420"/>
      </w:pPr>
    </w:lvl>
    <w:lvl w:ilvl="4" w:tentative="0">
      <w:start w:val="1"/>
      <w:numFmt w:val="lowerLetter"/>
      <w:lvlText w:val="%5)"/>
      <w:lvlJc w:val="left"/>
      <w:pPr>
        <w:ind w:left="2572" w:hanging="420"/>
      </w:pPr>
    </w:lvl>
    <w:lvl w:ilvl="5" w:tentative="0">
      <w:start w:val="1"/>
      <w:numFmt w:val="lowerRoman"/>
      <w:lvlText w:val="%6."/>
      <w:lvlJc w:val="right"/>
      <w:pPr>
        <w:ind w:left="2992" w:hanging="420"/>
      </w:pPr>
    </w:lvl>
    <w:lvl w:ilvl="6" w:tentative="0">
      <w:start w:val="1"/>
      <w:numFmt w:val="decimal"/>
      <w:lvlText w:val="%7."/>
      <w:lvlJc w:val="left"/>
      <w:pPr>
        <w:ind w:left="3412" w:hanging="420"/>
      </w:pPr>
    </w:lvl>
    <w:lvl w:ilvl="7" w:tentative="0">
      <w:start w:val="1"/>
      <w:numFmt w:val="lowerLetter"/>
      <w:lvlText w:val="%8)"/>
      <w:lvlJc w:val="left"/>
      <w:pPr>
        <w:ind w:left="3832" w:hanging="420"/>
      </w:pPr>
    </w:lvl>
    <w:lvl w:ilvl="8" w:tentative="0">
      <w:start w:val="1"/>
      <w:numFmt w:val="lowerRoman"/>
      <w:lvlText w:val="%9."/>
      <w:lvlJc w:val="right"/>
      <w:pPr>
        <w:ind w:left="4252" w:hanging="420"/>
      </w:pPr>
    </w:lvl>
  </w:abstractNum>
  <w:abstractNum w:abstractNumId="16">
    <w:nsid w:val="7FB17F12"/>
    <w:multiLevelType w:val="multilevel"/>
    <w:tmpl w:val="7FB17F12"/>
    <w:lvl w:ilvl="0" w:tentative="0">
      <w:start w:val="1"/>
      <w:numFmt w:val="decimal"/>
      <w:lvlText w:val="%1."/>
      <w:lvlJc w:val="left"/>
      <w:pPr>
        <w:tabs>
          <w:tab w:val="left" w:pos="420"/>
        </w:tabs>
        <w:ind w:left="420" w:hanging="420"/>
      </w:pPr>
      <w:rPr>
        <w:rFonts w:hint="default"/>
      </w:rPr>
    </w:lvl>
    <w:lvl w:ilvl="1" w:tentative="0">
      <w:start w:val="1"/>
      <w:numFmt w:val="decimal"/>
      <w:isLgl/>
      <w:lvlText w:val="%1.%2"/>
      <w:lvlJc w:val="left"/>
      <w:pPr>
        <w:tabs>
          <w:tab w:val="left" w:pos="405"/>
        </w:tabs>
        <w:ind w:left="405" w:hanging="405"/>
      </w:pPr>
      <w:rPr>
        <w:rFonts w:hint="default"/>
      </w:rPr>
    </w:lvl>
    <w:lvl w:ilvl="2" w:tentative="0">
      <w:start w:val="1"/>
      <w:numFmt w:val="decimal"/>
      <w:pStyle w:val="264"/>
      <w:isLgl/>
      <w:lvlText w:val="%1.%2.%3"/>
      <w:lvlJc w:val="left"/>
      <w:pPr>
        <w:tabs>
          <w:tab w:val="left" w:pos="720"/>
        </w:tabs>
        <w:ind w:left="720" w:hanging="720"/>
      </w:pPr>
      <w:rPr>
        <w:rFonts w:hint="default"/>
      </w:rPr>
    </w:lvl>
    <w:lvl w:ilvl="3" w:tentative="0">
      <w:start w:val="1"/>
      <w:numFmt w:val="decimal"/>
      <w:isLgl/>
      <w:lvlText w:val="%1.%2.%3.%4"/>
      <w:lvlJc w:val="left"/>
      <w:pPr>
        <w:tabs>
          <w:tab w:val="left" w:pos="720"/>
        </w:tabs>
        <w:ind w:left="720" w:hanging="720"/>
      </w:pPr>
      <w:rPr>
        <w:rFonts w:hint="default"/>
      </w:rPr>
    </w:lvl>
    <w:lvl w:ilvl="4" w:tentative="0">
      <w:start w:val="1"/>
      <w:numFmt w:val="decimal"/>
      <w:isLgl/>
      <w:lvlText w:val="%1.%2.%3.%4.%5"/>
      <w:lvlJc w:val="left"/>
      <w:pPr>
        <w:tabs>
          <w:tab w:val="left" w:pos="1080"/>
        </w:tabs>
        <w:ind w:left="1080" w:hanging="1080"/>
      </w:pPr>
      <w:rPr>
        <w:rFonts w:hint="default"/>
      </w:rPr>
    </w:lvl>
    <w:lvl w:ilvl="5" w:tentative="0">
      <w:start w:val="1"/>
      <w:numFmt w:val="decimal"/>
      <w:isLgl/>
      <w:lvlText w:val="%1.%2.%3.%4.%5.%6"/>
      <w:lvlJc w:val="left"/>
      <w:pPr>
        <w:tabs>
          <w:tab w:val="left" w:pos="1440"/>
        </w:tabs>
        <w:ind w:left="1440" w:hanging="1440"/>
      </w:pPr>
      <w:rPr>
        <w:rFonts w:hint="default"/>
      </w:rPr>
    </w:lvl>
    <w:lvl w:ilvl="6" w:tentative="0">
      <w:start w:val="1"/>
      <w:numFmt w:val="decimal"/>
      <w:isLgl/>
      <w:lvlText w:val="%1.%2.%3.%4.%5.%6.%7"/>
      <w:lvlJc w:val="left"/>
      <w:pPr>
        <w:tabs>
          <w:tab w:val="left" w:pos="1440"/>
        </w:tabs>
        <w:ind w:left="1440" w:hanging="1440"/>
      </w:pPr>
      <w:rPr>
        <w:rFonts w:hint="default"/>
      </w:rPr>
    </w:lvl>
    <w:lvl w:ilvl="7" w:tentative="0">
      <w:start w:val="1"/>
      <w:numFmt w:val="decimal"/>
      <w:isLgl/>
      <w:lvlText w:val="%1.%2.%3.%4.%5.%6.%7.%8"/>
      <w:lvlJc w:val="left"/>
      <w:pPr>
        <w:tabs>
          <w:tab w:val="left" w:pos="1800"/>
        </w:tabs>
        <w:ind w:left="1800" w:hanging="1800"/>
      </w:pPr>
      <w:rPr>
        <w:rFonts w:hint="default"/>
      </w:rPr>
    </w:lvl>
    <w:lvl w:ilvl="8" w:tentative="0">
      <w:start w:val="1"/>
      <w:numFmt w:val="decimal"/>
      <w:isLgl/>
      <w:lvlText w:val="%1.%2.%3.%4.%5.%6.%7.%8.%9"/>
      <w:lvlJc w:val="left"/>
      <w:pPr>
        <w:tabs>
          <w:tab w:val="left" w:pos="1800"/>
        </w:tabs>
        <w:ind w:left="1800" w:hanging="1800"/>
      </w:pPr>
      <w:rPr>
        <w:rFonts w:hint="default"/>
      </w:rPr>
    </w:lvl>
  </w:abstractNum>
  <w:num w:numId="1">
    <w:abstractNumId w:val="14"/>
  </w:num>
  <w:num w:numId="2">
    <w:abstractNumId w:val="11"/>
  </w:num>
  <w:num w:numId="3">
    <w:abstractNumId w:val="16"/>
  </w:num>
  <w:num w:numId="4">
    <w:abstractNumId w:val="3"/>
  </w:num>
  <w:num w:numId="5">
    <w:abstractNumId w:val="7"/>
  </w:num>
  <w:num w:numId="6">
    <w:abstractNumId w:val="8"/>
  </w:num>
  <w:num w:numId="7">
    <w:abstractNumId w:val="4"/>
  </w:num>
  <w:num w:numId="8">
    <w:abstractNumId w:val="5"/>
  </w:num>
  <w:num w:numId="9">
    <w:abstractNumId w:val="9"/>
  </w:num>
  <w:num w:numId="10">
    <w:abstractNumId w:val="10"/>
  </w:num>
  <w:num w:numId="11">
    <w:abstractNumId w:val="12"/>
  </w:num>
  <w:num w:numId="12">
    <w:abstractNumId w:val="1"/>
  </w:num>
  <w:num w:numId="13">
    <w:abstractNumId w:val="0"/>
  </w:num>
  <w:num w:numId="14">
    <w:abstractNumId w:val="15"/>
  </w:num>
  <w:num w:numId="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6719"/>
    <w:rsid w:val="0000109F"/>
    <w:rsid w:val="00043E2A"/>
    <w:rsid w:val="000704E2"/>
    <w:rsid w:val="000B5F59"/>
    <w:rsid w:val="001172B6"/>
    <w:rsid w:val="001C6A95"/>
    <w:rsid w:val="001F67CC"/>
    <w:rsid w:val="00224FE1"/>
    <w:rsid w:val="002A5566"/>
    <w:rsid w:val="002B44CA"/>
    <w:rsid w:val="002F17C2"/>
    <w:rsid w:val="00327F12"/>
    <w:rsid w:val="00340697"/>
    <w:rsid w:val="00391A76"/>
    <w:rsid w:val="00392B58"/>
    <w:rsid w:val="003A01AE"/>
    <w:rsid w:val="003A11EA"/>
    <w:rsid w:val="003B0AEC"/>
    <w:rsid w:val="003C2C69"/>
    <w:rsid w:val="00426B25"/>
    <w:rsid w:val="004375B0"/>
    <w:rsid w:val="00450B3C"/>
    <w:rsid w:val="004526DF"/>
    <w:rsid w:val="004639C5"/>
    <w:rsid w:val="00470AED"/>
    <w:rsid w:val="004F27F8"/>
    <w:rsid w:val="004F453B"/>
    <w:rsid w:val="00512365"/>
    <w:rsid w:val="00520CCB"/>
    <w:rsid w:val="005664EC"/>
    <w:rsid w:val="00594415"/>
    <w:rsid w:val="005C43C1"/>
    <w:rsid w:val="006207CC"/>
    <w:rsid w:val="00646BFC"/>
    <w:rsid w:val="006E1562"/>
    <w:rsid w:val="007006D9"/>
    <w:rsid w:val="00710107"/>
    <w:rsid w:val="007206A8"/>
    <w:rsid w:val="0072484A"/>
    <w:rsid w:val="00725990"/>
    <w:rsid w:val="007335F1"/>
    <w:rsid w:val="0073472D"/>
    <w:rsid w:val="00736534"/>
    <w:rsid w:val="007406DF"/>
    <w:rsid w:val="007526E2"/>
    <w:rsid w:val="00766873"/>
    <w:rsid w:val="00766C21"/>
    <w:rsid w:val="00780B8A"/>
    <w:rsid w:val="007863F2"/>
    <w:rsid w:val="007B4D19"/>
    <w:rsid w:val="007C3E75"/>
    <w:rsid w:val="007D7B85"/>
    <w:rsid w:val="007F1EFD"/>
    <w:rsid w:val="00816719"/>
    <w:rsid w:val="008656C6"/>
    <w:rsid w:val="00871034"/>
    <w:rsid w:val="008A73CE"/>
    <w:rsid w:val="008B62D9"/>
    <w:rsid w:val="008D3243"/>
    <w:rsid w:val="00914FB8"/>
    <w:rsid w:val="00933229"/>
    <w:rsid w:val="009649FF"/>
    <w:rsid w:val="00985332"/>
    <w:rsid w:val="00990D35"/>
    <w:rsid w:val="009A265F"/>
    <w:rsid w:val="009E45F4"/>
    <w:rsid w:val="009E4FAE"/>
    <w:rsid w:val="009F27CB"/>
    <w:rsid w:val="00A24111"/>
    <w:rsid w:val="00A2494A"/>
    <w:rsid w:val="00A31C2F"/>
    <w:rsid w:val="00A77264"/>
    <w:rsid w:val="00AB645F"/>
    <w:rsid w:val="00AD3FF5"/>
    <w:rsid w:val="00AE34F4"/>
    <w:rsid w:val="00AE65CA"/>
    <w:rsid w:val="00B27327"/>
    <w:rsid w:val="00B449E8"/>
    <w:rsid w:val="00B50852"/>
    <w:rsid w:val="00B50DBE"/>
    <w:rsid w:val="00B714C7"/>
    <w:rsid w:val="00B7437A"/>
    <w:rsid w:val="00B76EDF"/>
    <w:rsid w:val="00B908D6"/>
    <w:rsid w:val="00BA067A"/>
    <w:rsid w:val="00BA13A0"/>
    <w:rsid w:val="00BA5D0E"/>
    <w:rsid w:val="00BB2BE6"/>
    <w:rsid w:val="00BD7D58"/>
    <w:rsid w:val="00C44404"/>
    <w:rsid w:val="00C55616"/>
    <w:rsid w:val="00C55644"/>
    <w:rsid w:val="00C6317B"/>
    <w:rsid w:val="00C8001D"/>
    <w:rsid w:val="00C9168B"/>
    <w:rsid w:val="00CC25A0"/>
    <w:rsid w:val="00CE1F8F"/>
    <w:rsid w:val="00CF3C73"/>
    <w:rsid w:val="00D11E12"/>
    <w:rsid w:val="00D43E40"/>
    <w:rsid w:val="00D61DFF"/>
    <w:rsid w:val="00DA284E"/>
    <w:rsid w:val="00DC14D7"/>
    <w:rsid w:val="00DD3206"/>
    <w:rsid w:val="00E23946"/>
    <w:rsid w:val="00E84AB9"/>
    <w:rsid w:val="00E87D6A"/>
    <w:rsid w:val="00EE1E74"/>
    <w:rsid w:val="00F11E92"/>
    <w:rsid w:val="00F306B2"/>
    <w:rsid w:val="00F3264F"/>
    <w:rsid w:val="00F36711"/>
    <w:rsid w:val="00F47BAD"/>
    <w:rsid w:val="00F61EC0"/>
    <w:rsid w:val="00F65ED0"/>
    <w:rsid w:val="00F73060"/>
    <w:rsid w:val="00F93182"/>
    <w:rsid w:val="00FA1E2B"/>
    <w:rsid w:val="00FA5DBA"/>
    <w:rsid w:val="0A855658"/>
    <w:rsid w:val="0D6C3D6B"/>
    <w:rsid w:val="12C11AE1"/>
    <w:rsid w:val="1697697B"/>
    <w:rsid w:val="42C71B2C"/>
    <w:rsid w:val="4E606F96"/>
    <w:rsid w:val="50C6449B"/>
    <w:rsid w:val="6A0C7A4F"/>
  </w:rsids>
  <m:mathPr>
    <m:lMargin m:val="0"/>
    <m:mathFont m:val="Cambria Math"/>
    <m:rMargin m:val="0"/>
    <m:wrapIndent m:val="1440"/>
    <m:brkBin m:val="before"/>
    <m:brkBinSub m:val="--"/>
    <m:defJc m:val="centerGroup"/>
    <m:intLim m:val="subSup"/>
    <m:naryLim m:val="undOvr"/>
    <m:smallFrac m:val="off"/>
    <m:dispDef/>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name="footnote text"/>
    <w:lsdException w:qFormat="1" w:unhideWhenUsed="0" w:uiPriority="0" w:semiHidden="0" w:name="annotation text"/>
    <w:lsdException w:qFormat="1" w:uiPriority="0" w:semiHidden="0" w:name="header"/>
    <w:lsdException w:qFormat="1" w:uiPriority="99" w:semiHidden="0" w:name="footer"/>
    <w:lsdException w:uiPriority="99" w:name="index heading"/>
    <w:lsdException w:qFormat="1" w:uiPriority="35" w:name="caption"/>
    <w:lsdException w:qFormat="1" w:unhideWhenUsed="0" w:uiPriority="0" w:semiHidden="0" w:name="table of figures"/>
    <w:lsdException w:uiPriority="99" w:name="envelope address"/>
    <w:lsdException w:uiPriority="99" w:name="envelope return"/>
    <w:lsdException w:uiPriority="99" w:name="footnote reference"/>
    <w:lsdException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nhideWhenUsed="0" w:uiPriority="0" w:semiHidden="0" w:name="List 3"/>
    <w:lsdException w:uiPriority="99" w:name="List 4"/>
    <w:lsdException w:uiPriority="99" w:name="List 5"/>
    <w:lsdException w:unhideWhenUsed="0" w:uiPriority="0" w:semiHidden="0"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qFormat="1" w:unhideWhenUsed="0" w:uiPriority="0" w:semiHidden="0" w:name="Closing"/>
    <w:lsdException w:uiPriority="99" w:name="Signature"/>
    <w:lsdException w:uiPriority="1" w:name="Default Paragraph Font"/>
    <w:lsdException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qFormat="1"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unhideWhenUsed="0" w:uiPriority="0" w:semiHidden="0"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65"/>
    <w:qFormat/>
    <w:uiPriority w:val="0"/>
    <w:pPr>
      <w:keepNext/>
      <w:keepLines/>
      <w:spacing w:before="340" w:after="330" w:line="578" w:lineRule="auto"/>
      <w:outlineLvl w:val="0"/>
    </w:pPr>
    <w:rPr>
      <w:b/>
      <w:kern w:val="44"/>
      <w:sz w:val="32"/>
    </w:rPr>
  </w:style>
  <w:style w:type="paragraph" w:styleId="3">
    <w:name w:val="heading 2"/>
    <w:basedOn w:val="1"/>
    <w:next w:val="4"/>
    <w:link w:val="67"/>
    <w:qFormat/>
    <w:uiPriority w:val="0"/>
    <w:pPr>
      <w:keepNext/>
      <w:keepLines/>
      <w:spacing w:before="260" w:after="260" w:line="500" w:lineRule="exact"/>
      <w:outlineLvl w:val="1"/>
    </w:pPr>
    <w:rPr>
      <w:rFonts w:ascii="Arial" w:hAnsi="Arial" w:eastAsia="黑体"/>
      <w:b/>
      <w:sz w:val="28"/>
    </w:rPr>
  </w:style>
  <w:style w:type="paragraph" w:styleId="5">
    <w:name w:val="heading 3"/>
    <w:basedOn w:val="1"/>
    <w:next w:val="4"/>
    <w:link w:val="68"/>
    <w:qFormat/>
    <w:uiPriority w:val="0"/>
    <w:pPr>
      <w:keepNext/>
      <w:keepLines/>
      <w:spacing w:before="260" w:after="260" w:line="416" w:lineRule="auto"/>
      <w:outlineLvl w:val="2"/>
    </w:pPr>
    <w:rPr>
      <w:b/>
      <w:sz w:val="32"/>
    </w:rPr>
  </w:style>
  <w:style w:type="paragraph" w:styleId="6">
    <w:name w:val="heading 4"/>
    <w:basedOn w:val="1"/>
    <w:next w:val="1"/>
    <w:link w:val="69"/>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4"/>
    <w:link w:val="70"/>
    <w:qFormat/>
    <w:uiPriority w:val="0"/>
    <w:pPr>
      <w:keepNext/>
      <w:keepLines/>
      <w:spacing w:before="280" w:after="290" w:line="376" w:lineRule="auto"/>
      <w:outlineLvl w:val="4"/>
    </w:pPr>
    <w:rPr>
      <w:b/>
      <w:sz w:val="28"/>
      <w:szCs w:val="24"/>
    </w:rPr>
  </w:style>
  <w:style w:type="paragraph" w:styleId="8">
    <w:name w:val="heading 6"/>
    <w:basedOn w:val="1"/>
    <w:next w:val="4"/>
    <w:link w:val="71"/>
    <w:qFormat/>
    <w:uiPriority w:val="0"/>
    <w:pPr>
      <w:keepNext/>
      <w:keepLines/>
      <w:spacing w:before="240" w:after="64" w:line="320" w:lineRule="auto"/>
      <w:outlineLvl w:val="5"/>
    </w:pPr>
    <w:rPr>
      <w:rFonts w:ascii="Arial" w:hAnsi="Arial" w:eastAsia="黑体"/>
      <w:b/>
      <w:sz w:val="24"/>
      <w:szCs w:val="24"/>
    </w:rPr>
  </w:style>
  <w:style w:type="paragraph" w:styleId="9">
    <w:name w:val="heading 7"/>
    <w:basedOn w:val="1"/>
    <w:next w:val="4"/>
    <w:link w:val="72"/>
    <w:qFormat/>
    <w:uiPriority w:val="0"/>
    <w:pPr>
      <w:keepNext/>
      <w:keepLines/>
      <w:spacing w:before="240" w:after="64" w:line="320" w:lineRule="auto"/>
      <w:outlineLvl w:val="6"/>
    </w:pPr>
    <w:rPr>
      <w:b/>
      <w:sz w:val="24"/>
      <w:szCs w:val="24"/>
    </w:rPr>
  </w:style>
  <w:style w:type="paragraph" w:styleId="10">
    <w:name w:val="heading 8"/>
    <w:basedOn w:val="1"/>
    <w:next w:val="4"/>
    <w:link w:val="73"/>
    <w:qFormat/>
    <w:uiPriority w:val="0"/>
    <w:pPr>
      <w:keepNext/>
      <w:keepLines/>
      <w:spacing w:before="240" w:after="64" w:line="320" w:lineRule="auto"/>
      <w:outlineLvl w:val="7"/>
    </w:pPr>
    <w:rPr>
      <w:rFonts w:ascii="Arial" w:hAnsi="Arial" w:eastAsia="黑体"/>
      <w:sz w:val="24"/>
      <w:szCs w:val="24"/>
    </w:rPr>
  </w:style>
  <w:style w:type="paragraph" w:styleId="11">
    <w:name w:val="heading 9"/>
    <w:basedOn w:val="1"/>
    <w:next w:val="4"/>
    <w:link w:val="74"/>
    <w:qFormat/>
    <w:uiPriority w:val="0"/>
    <w:pPr>
      <w:keepNext/>
      <w:keepLines/>
      <w:spacing w:before="240" w:after="64" w:line="320" w:lineRule="auto"/>
      <w:outlineLvl w:val="8"/>
    </w:pPr>
    <w:rPr>
      <w:rFonts w:ascii="Arial" w:hAnsi="Arial" w:eastAsia="黑体"/>
      <w:szCs w:val="24"/>
    </w:rPr>
  </w:style>
  <w:style w:type="character" w:default="1" w:styleId="48">
    <w:name w:val="Default Paragraph Font"/>
    <w:unhideWhenUsed/>
    <w:uiPriority w:val="1"/>
  </w:style>
  <w:style w:type="table" w:default="1" w:styleId="63">
    <w:name w:val="Normal Table"/>
    <w:unhideWhenUsed/>
    <w:qFormat/>
    <w:uiPriority w:val="99"/>
    <w:tblPr>
      <w:tblLayout w:type="fixed"/>
      <w:tblCellMar>
        <w:top w:w="0" w:type="dxa"/>
        <w:left w:w="108" w:type="dxa"/>
        <w:bottom w:w="0" w:type="dxa"/>
        <w:right w:w="108" w:type="dxa"/>
      </w:tblCellMar>
    </w:tblPr>
  </w:style>
  <w:style w:type="paragraph" w:styleId="4">
    <w:name w:val="Normal Indent"/>
    <w:basedOn w:val="1"/>
    <w:link w:val="66"/>
    <w:qFormat/>
    <w:uiPriority w:val="0"/>
    <w:pPr>
      <w:ind w:firstLine="420"/>
    </w:pPr>
  </w:style>
  <w:style w:type="paragraph" w:styleId="12">
    <w:name w:val="List 3"/>
    <w:basedOn w:val="1"/>
    <w:uiPriority w:val="0"/>
    <w:pPr>
      <w:ind w:left="100" w:leftChars="400" w:hanging="200" w:hangingChars="200"/>
    </w:pPr>
    <w:rPr>
      <w:szCs w:val="24"/>
    </w:rPr>
  </w:style>
  <w:style w:type="paragraph" w:styleId="13">
    <w:name w:val="toc 7"/>
    <w:basedOn w:val="1"/>
    <w:next w:val="1"/>
    <w:uiPriority w:val="0"/>
    <w:pPr>
      <w:ind w:left="1260"/>
      <w:jc w:val="left"/>
    </w:pPr>
    <w:rPr>
      <w:rFonts w:ascii="Calibri" w:hAnsi="Calibri" w:cs="Calibri"/>
      <w:sz w:val="18"/>
      <w:szCs w:val="18"/>
    </w:rPr>
  </w:style>
  <w:style w:type="paragraph" w:styleId="14">
    <w:name w:val="Body Text First Indent"/>
    <w:basedOn w:val="15"/>
    <w:link w:val="76"/>
    <w:uiPriority w:val="0"/>
    <w:pPr>
      <w:ind w:firstLine="420" w:firstLineChars="100"/>
    </w:pPr>
  </w:style>
  <w:style w:type="paragraph" w:styleId="15">
    <w:name w:val="Body Text"/>
    <w:basedOn w:val="1"/>
    <w:link w:val="75"/>
    <w:uiPriority w:val="0"/>
    <w:pPr>
      <w:spacing w:after="120"/>
    </w:pPr>
  </w:style>
  <w:style w:type="paragraph" w:styleId="16">
    <w:name w:val="Document Map"/>
    <w:basedOn w:val="1"/>
    <w:link w:val="137"/>
    <w:qFormat/>
    <w:uiPriority w:val="0"/>
    <w:pPr>
      <w:shd w:val="clear" w:color="auto" w:fill="000080"/>
    </w:pPr>
    <w:rPr>
      <w:rFonts w:asciiTheme="minorHAnsi" w:hAnsiTheme="minorHAnsi" w:cstheme="minorBidi"/>
      <w:szCs w:val="22"/>
    </w:rPr>
  </w:style>
  <w:style w:type="paragraph" w:styleId="17">
    <w:name w:val="annotation text"/>
    <w:basedOn w:val="1"/>
    <w:link w:val="108"/>
    <w:qFormat/>
    <w:uiPriority w:val="0"/>
    <w:pPr>
      <w:widowControl/>
      <w:spacing w:line="300" w:lineRule="auto"/>
      <w:jc w:val="left"/>
    </w:pPr>
    <w:rPr>
      <w:rFonts w:ascii="Arial" w:hAnsi="Arial" w:cs="Arial"/>
      <w:sz w:val="18"/>
      <w:szCs w:val="22"/>
    </w:rPr>
  </w:style>
  <w:style w:type="paragraph" w:styleId="18">
    <w:name w:val="Salutation"/>
    <w:basedOn w:val="1"/>
    <w:next w:val="1"/>
    <w:link w:val="79"/>
    <w:uiPriority w:val="0"/>
    <w:rPr>
      <w:bCs/>
      <w:sz w:val="28"/>
    </w:rPr>
  </w:style>
  <w:style w:type="paragraph" w:styleId="19">
    <w:name w:val="Body Text 3"/>
    <w:basedOn w:val="1"/>
    <w:link w:val="80"/>
    <w:qFormat/>
    <w:uiPriority w:val="0"/>
    <w:pPr>
      <w:spacing w:line="500" w:lineRule="exact"/>
    </w:pPr>
    <w:rPr>
      <w:b/>
      <w:bCs/>
      <w:sz w:val="24"/>
      <w:szCs w:val="24"/>
    </w:rPr>
  </w:style>
  <w:style w:type="paragraph" w:styleId="20">
    <w:name w:val="Closing"/>
    <w:basedOn w:val="1"/>
    <w:link w:val="81"/>
    <w:qFormat/>
    <w:uiPriority w:val="0"/>
    <w:pPr>
      <w:ind w:left="100" w:leftChars="2100"/>
    </w:pPr>
    <w:rPr>
      <w:bCs/>
      <w:sz w:val="28"/>
    </w:rPr>
  </w:style>
  <w:style w:type="paragraph" w:styleId="21">
    <w:name w:val="Body Text Indent"/>
    <w:basedOn w:val="1"/>
    <w:link w:val="113"/>
    <w:qFormat/>
    <w:uiPriority w:val="0"/>
    <w:pPr>
      <w:ind w:firstLine="630"/>
    </w:pPr>
    <w:rPr>
      <w:rFonts w:asciiTheme="minorHAnsi" w:hAnsiTheme="minorHAnsi" w:cstheme="minorBidi"/>
      <w:sz w:val="32"/>
      <w:szCs w:val="22"/>
    </w:rPr>
  </w:style>
  <w:style w:type="paragraph" w:styleId="22">
    <w:name w:val="List 2"/>
    <w:basedOn w:val="1"/>
    <w:qFormat/>
    <w:uiPriority w:val="0"/>
    <w:pPr>
      <w:ind w:left="100" w:leftChars="200" w:hanging="200" w:hangingChars="200"/>
    </w:pPr>
    <w:rPr>
      <w:szCs w:val="24"/>
    </w:rPr>
  </w:style>
  <w:style w:type="paragraph" w:styleId="23">
    <w:name w:val="Block Text"/>
    <w:basedOn w:val="1"/>
    <w:uiPriority w:val="0"/>
    <w:pPr>
      <w:spacing w:line="400" w:lineRule="exact"/>
      <w:ind w:left="-359" w:leftChars="-171" w:right="-687" w:rightChars="-327" w:firstLine="720"/>
    </w:pPr>
    <w:rPr>
      <w:rFonts w:ascii="宋体" w:hAnsi="宋体"/>
      <w:sz w:val="28"/>
      <w:szCs w:val="24"/>
    </w:rPr>
  </w:style>
  <w:style w:type="paragraph" w:styleId="24">
    <w:name w:val="List Bullet 2"/>
    <w:basedOn w:val="1"/>
    <w:uiPriority w:val="0"/>
    <w:pPr>
      <w:tabs>
        <w:tab w:val="left" w:pos="987"/>
      </w:tabs>
      <w:spacing w:line="360" w:lineRule="auto"/>
      <w:ind w:left="987" w:hanging="420"/>
      <w:contextualSpacing/>
    </w:pPr>
    <w:rPr>
      <w:sz w:val="24"/>
      <w:szCs w:val="24"/>
    </w:rPr>
  </w:style>
  <w:style w:type="paragraph" w:styleId="25">
    <w:name w:val="HTML Address"/>
    <w:basedOn w:val="1"/>
    <w:link w:val="83"/>
    <w:qFormat/>
    <w:uiPriority w:val="0"/>
    <w:rPr>
      <w:i/>
      <w:iCs/>
      <w:szCs w:val="24"/>
    </w:rPr>
  </w:style>
  <w:style w:type="paragraph" w:styleId="26">
    <w:name w:val="toc 5"/>
    <w:basedOn w:val="1"/>
    <w:next w:val="1"/>
    <w:uiPriority w:val="0"/>
    <w:pPr>
      <w:ind w:left="840"/>
      <w:jc w:val="left"/>
    </w:pPr>
    <w:rPr>
      <w:rFonts w:ascii="Calibri" w:hAnsi="Calibri" w:cs="Calibri"/>
      <w:sz w:val="18"/>
      <w:szCs w:val="18"/>
    </w:rPr>
  </w:style>
  <w:style w:type="paragraph" w:styleId="27">
    <w:name w:val="toc 3"/>
    <w:basedOn w:val="1"/>
    <w:next w:val="1"/>
    <w:qFormat/>
    <w:uiPriority w:val="0"/>
    <w:pPr>
      <w:ind w:left="420"/>
      <w:jc w:val="left"/>
    </w:pPr>
    <w:rPr>
      <w:rFonts w:ascii="Calibri" w:hAnsi="Calibri" w:cs="Calibri"/>
      <w:i/>
      <w:iCs/>
      <w:sz w:val="20"/>
    </w:rPr>
  </w:style>
  <w:style w:type="paragraph" w:styleId="28">
    <w:name w:val="Plain Text"/>
    <w:basedOn w:val="1"/>
    <w:link w:val="129"/>
    <w:qFormat/>
    <w:uiPriority w:val="0"/>
    <w:rPr>
      <w:rFonts w:ascii="宋体" w:hAnsi="Courier New" w:cs="Courier New"/>
      <w:szCs w:val="21"/>
    </w:rPr>
  </w:style>
  <w:style w:type="paragraph" w:styleId="29">
    <w:name w:val="toc 8"/>
    <w:basedOn w:val="1"/>
    <w:next w:val="1"/>
    <w:qFormat/>
    <w:uiPriority w:val="0"/>
    <w:pPr>
      <w:ind w:left="1470"/>
      <w:jc w:val="left"/>
    </w:pPr>
    <w:rPr>
      <w:rFonts w:ascii="Calibri" w:hAnsi="Calibri" w:cs="Calibri"/>
      <w:sz w:val="18"/>
      <w:szCs w:val="18"/>
    </w:rPr>
  </w:style>
  <w:style w:type="paragraph" w:styleId="30">
    <w:name w:val="Date"/>
    <w:basedOn w:val="1"/>
    <w:next w:val="1"/>
    <w:link w:val="115"/>
    <w:uiPriority w:val="0"/>
    <w:rPr>
      <w:rFonts w:eastAsia="黑体" w:asciiTheme="minorHAnsi" w:hAnsiTheme="minorHAnsi" w:cstheme="minorBidi"/>
      <w:sz w:val="36"/>
      <w:szCs w:val="22"/>
    </w:rPr>
  </w:style>
  <w:style w:type="paragraph" w:styleId="31">
    <w:name w:val="Body Text Indent 2"/>
    <w:basedOn w:val="1"/>
    <w:link w:val="86"/>
    <w:qFormat/>
    <w:uiPriority w:val="0"/>
    <w:pPr>
      <w:ind w:firstLine="630"/>
    </w:pPr>
    <w:rPr>
      <w:sz w:val="32"/>
    </w:rPr>
  </w:style>
  <w:style w:type="paragraph" w:styleId="32">
    <w:name w:val="Balloon Text"/>
    <w:basedOn w:val="1"/>
    <w:link w:val="87"/>
    <w:qFormat/>
    <w:uiPriority w:val="0"/>
    <w:rPr>
      <w:sz w:val="18"/>
      <w:szCs w:val="18"/>
    </w:rPr>
  </w:style>
  <w:style w:type="paragraph" w:styleId="33">
    <w:name w:val="footer"/>
    <w:basedOn w:val="1"/>
    <w:link w:val="88"/>
    <w:unhideWhenUsed/>
    <w:qFormat/>
    <w:uiPriority w:val="99"/>
    <w:pPr>
      <w:tabs>
        <w:tab w:val="center" w:pos="4153"/>
        <w:tab w:val="right" w:pos="8306"/>
      </w:tabs>
      <w:snapToGrid w:val="0"/>
      <w:jc w:val="left"/>
    </w:pPr>
    <w:rPr>
      <w:sz w:val="18"/>
      <w:szCs w:val="18"/>
    </w:rPr>
  </w:style>
  <w:style w:type="paragraph" w:styleId="34">
    <w:name w:val="header"/>
    <w:basedOn w:val="1"/>
    <w:link w:val="89"/>
    <w:unhideWhenUsed/>
    <w:qFormat/>
    <w:uiPriority w:val="0"/>
    <w:pPr>
      <w:pBdr>
        <w:bottom w:val="single" w:color="auto" w:sz="6" w:space="1"/>
      </w:pBdr>
      <w:tabs>
        <w:tab w:val="center" w:pos="4153"/>
        <w:tab w:val="right" w:pos="8306"/>
      </w:tabs>
      <w:snapToGrid w:val="0"/>
      <w:jc w:val="center"/>
    </w:pPr>
    <w:rPr>
      <w:sz w:val="18"/>
      <w:szCs w:val="18"/>
    </w:rPr>
  </w:style>
  <w:style w:type="paragraph" w:styleId="35">
    <w:name w:val="toc 1"/>
    <w:basedOn w:val="1"/>
    <w:next w:val="1"/>
    <w:qFormat/>
    <w:uiPriority w:val="0"/>
    <w:pPr>
      <w:tabs>
        <w:tab w:val="right" w:leader="dot" w:pos="9061"/>
      </w:tabs>
      <w:spacing w:before="120" w:after="120" w:line="360" w:lineRule="auto"/>
      <w:jc w:val="center"/>
    </w:pPr>
    <w:rPr>
      <w:rFonts w:ascii="Calibri" w:hAnsi="Calibri" w:cs="Calibri"/>
      <w:b/>
      <w:bCs/>
      <w:caps/>
      <w:sz w:val="32"/>
      <w:szCs w:val="32"/>
    </w:rPr>
  </w:style>
  <w:style w:type="paragraph" w:styleId="36">
    <w:name w:val="toc 4"/>
    <w:basedOn w:val="1"/>
    <w:next w:val="1"/>
    <w:uiPriority w:val="0"/>
    <w:pPr>
      <w:ind w:left="630"/>
      <w:jc w:val="left"/>
    </w:pPr>
    <w:rPr>
      <w:rFonts w:ascii="Calibri" w:hAnsi="Calibri" w:cs="Calibri"/>
      <w:sz w:val="18"/>
      <w:szCs w:val="18"/>
    </w:rPr>
  </w:style>
  <w:style w:type="paragraph" w:styleId="37">
    <w:name w:val="Subtitle"/>
    <w:basedOn w:val="1"/>
    <w:next w:val="1"/>
    <w:link w:val="130"/>
    <w:qFormat/>
    <w:uiPriority w:val="0"/>
    <w:pPr>
      <w:spacing w:before="240" w:after="60" w:line="312" w:lineRule="auto"/>
      <w:jc w:val="center"/>
      <w:outlineLvl w:val="1"/>
    </w:pPr>
    <w:rPr>
      <w:rFonts w:ascii="Cambria" w:hAnsi="Cambria" w:cstheme="minorBidi"/>
      <w:b/>
      <w:bCs/>
      <w:kern w:val="28"/>
      <w:sz w:val="32"/>
      <w:szCs w:val="32"/>
    </w:rPr>
  </w:style>
  <w:style w:type="paragraph" w:styleId="38">
    <w:name w:val="footnote text"/>
    <w:basedOn w:val="1"/>
    <w:link w:val="91"/>
    <w:semiHidden/>
    <w:qFormat/>
    <w:uiPriority w:val="0"/>
    <w:pPr>
      <w:snapToGrid w:val="0"/>
      <w:jc w:val="left"/>
    </w:pPr>
    <w:rPr>
      <w:sz w:val="18"/>
      <w:szCs w:val="18"/>
    </w:rPr>
  </w:style>
  <w:style w:type="paragraph" w:styleId="39">
    <w:name w:val="toc 6"/>
    <w:basedOn w:val="1"/>
    <w:next w:val="1"/>
    <w:qFormat/>
    <w:uiPriority w:val="0"/>
    <w:pPr>
      <w:ind w:left="1050"/>
      <w:jc w:val="left"/>
    </w:pPr>
    <w:rPr>
      <w:rFonts w:ascii="Calibri" w:hAnsi="Calibri" w:cs="Calibri"/>
      <w:sz w:val="18"/>
      <w:szCs w:val="18"/>
    </w:rPr>
  </w:style>
  <w:style w:type="paragraph" w:styleId="40">
    <w:name w:val="Body Text Indent 3"/>
    <w:basedOn w:val="1"/>
    <w:link w:val="92"/>
    <w:uiPriority w:val="0"/>
    <w:pPr>
      <w:adjustRightInd w:val="0"/>
      <w:snapToGrid w:val="0"/>
      <w:spacing w:line="360" w:lineRule="auto"/>
      <w:ind w:firstLine="600" w:firstLineChars="200"/>
    </w:pPr>
    <w:rPr>
      <w:rFonts w:ascii="黑体" w:eastAsia="黑体"/>
      <w:sz w:val="30"/>
      <w:szCs w:val="28"/>
    </w:rPr>
  </w:style>
  <w:style w:type="paragraph" w:styleId="41">
    <w:name w:val="table of figures"/>
    <w:basedOn w:val="1"/>
    <w:next w:val="1"/>
    <w:qFormat/>
    <w:uiPriority w:val="0"/>
    <w:pPr>
      <w:ind w:left="200" w:leftChars="200" w:hanging="200" w:hangingChars="200"/>
    </w:pPr>
  </w:style>
  <w:style w:type="paragraph" w:styleId="42">
    <w:name w:val="toc 2"/>
    <w:basedOn w:val="1"/>
    <w:next w:val="1"/>
    <w:qFormat/>
    <w:uiPriority w:val="0"/>
    <w:pPr>
      <w:ind w:left="210"/>
      <w:jc w:val="left"/>
    </w:pPr>
    <w:rPr>
      <w:rFonts w:ascii="Calibri" w:hAnsi="Calibri" w:cs="Calibri"/>
      <w:smallCaps/>
      <w:sz w:val="20"/>
    </w:rPr>
  </w:style>
  <w:style w:type="paragraph" w:styleId="43">
    <w:name w:val="toc 9"/>
    <w:basedOn w:val="1"/>
    <w:next w:val="1"/>
    <w:qFormat/>
    <w:uiPriority w:val="0"/>
    <w:pPr>
      <w:ind w:left="1680"/>
      <w:jc w:val="left"/>
    </w:pPr>
    <w:rPr>
      <w:rFonts w:ascii="Calibri" w:hAnsi="Calibri" w:cs="Calibri"/>
      <w:sz w:val="18"/>
      <w:szCs w:val="18"/>
    </w:rPr>
  </w:style>
  <w:style w:type="paragraph" w:styleId="44">
    <w:name w:val="Body Text 2"/>
    <w:basedOn w:val="1"/>
    <w:link w:val="93"/>
    <w:qFormat/>
    <w:uiPriority w:val="0"/>
    <w:pPr>
      <w:spacing w:after="120" w:line="480" w:lineRule="auto"/>
    </w:pPr>
    <w:rPr>
      <w:szCs w:val="24"/>
    </w:rPr>
  </w:style>
  <w:style w:type="paragraph" w:styleId="45">
    <w:name w:val="HTML Preformatted"/>
    <w:basedOn w:val="1"/>
    <w:link w:val="107"/>
    <w:qFormat/>
    <w:uiPriority w:val="0"/>
    <w:rPr>
      <w:rFonts w:ascii="Courier New" w:hAnsi="Courier New" w:eastAsiaTheme="minorEastAsia" w:cstheme="minorBidi"/>
      <w:szCs w:val="22"/>
    </w:rPr>
  </w:style>
  <w:style w:type="paragraph" w:styleId="46">
    <w:name w:val="Normal (Web)"/>
    <w:basedOn w:val="1"/>
    <w:link w:val="95"/>
    <w:qFormat/>
    <w:uiPriority w:val="0"/>
    <w:pPr>
      <w:widowControl/>
      <w:spacing w:before="100" w:beforeAutospacing="1" w:after="100" w:afterAutospacing="1"/>
      <w:jc w:val="left"/>
    </w:pPr>
    <w:rPr>
      <w:rFonts w:ascii="宋体" w:hAnsi="宋体"/>
      <w:kern w:val="0"/>
      <w:sz w:val="18"/>
      <w:szCs w:val="18"/>
    </w:rPr>
  </w:style>
  <w:style w:type="paragraph" w:styleId="47">
    <w:name w:val="Title"/>
    <w:basedOn w:val="1"/>
    <w:next w:val="1"/>
    <w:link w:val="96"/>
    <w:qFormat/>
    <w:uiPriority w:val="0"/>
    <w:pPr>
      <w:spacing w:before="240" w:after="60"/>
      <w:jc w:val="center"/>
      <w:outlineLvl w:val="0"/>
    </w:pPr>
    <w:rPr>
      <w:rFonts w:ascii="Cambria" w:hAnsi="Cambria"/>
      <w:b/>
      <w:bCs/>
      <w:sz w:val="32"/>
      <w:szCs w:val="32"/>
    </w:rPr>
  </w:style>
  <w:style w:type="character" w:styleId="49">
    <w:name w:val="Strong"/>
    <w:qFormat/>
    <w:uiPriority w:val="0"/>
    <w:rPr>
      <w:b/>
      <w:bCs/>
    </w:rPr>
  </w:style>
  <w:style w:type="character" w:styleId="50">
    <w:name w:val="page number"/>
    <w:basedOn w:val="48"/>
    <w:qFormat/>
    <w:uiPriority w:val="0"/>
  </w:style>
  <w:style w:type="character" w:styleId="51">
    <w:name w:val="FollowedHyperlink"/>
    <w:qFormat/>
    <w:uiPriority w:val="99"/>
    <w:rPr>
      <w:color w:val="800080"/>
      <w:u w:val="single"/>
    </w:rPr>
  </w:style>
  <w:style w:type="character" w:styleId="52">
    <w:name w:val="Emphasis"/>
    <w:qFormat/>
    <w:uiPriority w:val="0"/>
    <w:rPr>
      <w:rFonts w:cs="Times New Roman"/>
    </w:rPr>
  </w:style>
  <w:style w:type="character" w:styleId="53">
    <w:name w:val="HTML Definition"/>
    <w:uiPriority w:val="0"/>
    <w:rPr>
      <w:i/>
      <w:iCs/>
    </w:rPr>
  </w:style>
  <w:style w:type="character" w:styleId="54">
    <w:name w:val="HTML Typewriter"/>
    <w:qFormat/>
    <w:uiPriority w:val="0"/>
    <w:rPr>
      <w:rFonts w:ascii="Courier New" w:hAnsi="Courier New"/>
      <w:sz w:val="20"/>
      <w:szCs w:val="20"/>
    </w:rPr>
  </w:style>
  <w:style w:type="character" w:styleId="55">
    <w:name w:val="HTML Acronym"/>
    <w:basedOn w:val="48"/>
    <w:qFormat/>
    <w:uiPriority w:val="0"/>
  </w:style>
  <w:style w:type="character" w:styleId="56">
    <w:name w:val="HTML Variable"/>
    <w:uiPriority w:val="0"/>
    <w:rPr>
      <w:i/>
      <w:iCs/>
    </w:rPr>
  </w:style>
  <w:style w:type="character" w:styleId="57">
    <w:name w:val="Hyperlink"/>
    <w:qFormat/>
    <w:uiPriority w:val="99"/>
    <w:rPr>
      <w:color w:val="0000FF"/>
      <w:u w:val="single"/>
    </w:rPr>
  </w:style>
  <w:style w:type="character" w:styleId="58">
    <w:name w:val="HTML Code"/>
    <w:qFormat/>
    <w:uiPriority w:val="0"/>
    <w:rPr>
      <w:rFonts w:ascii="Courier New" w:hAnsi="Courier New"/>
      <w:sz w:val="20"/>
      <w:szCs w:val="20"/>
    </w:rPr>
  </w:style>
  <w:style w:type="character" w:styleId="59">
    <w:name w:val="annotation reference"/>
    <w:uiPriority w:val="0"/>
    <w:rPr>
      <w:sz w:val="21"/>
    </w:rPr>
  </w:style>
  <w:style w:type="character" w:styleId="60">
    <w:name w:val="HTML Cite"/>
    <w:uiPriority w:val="0"/>
    <w:rPr>
      <w:i/>
      <w:iCs/>
    </w:rPr>
  </w:style>
  <w:style w:type="character" w:styleId="61">
    <w:name w:val="HTML Keyboard"/>
    <w:uiPriority w:val="0"/>
    <w:rPr>
      <w:rFonts w:ascii="Courier New" w:hAnsi="Courier New"/>
      <w:sz w:val="20"/>
      <w:szCs w:val="20"/>
    </w:rPr>
  </w:style>
  <w:style w:type="character" w:styleId="62">
    <w:name w:val="HTML Sample"/>
    <w:qFormat/>
    <w:uiPriority w:val="0"/>
    <w:rPr>
      <w:rFonts w:ascii="Courier New" w:hAnsi="Courier New"/>
    </w:rPr>
  </w:style>
  <w:style w:type="table" w:styleId="64">
    <w:name w:val="Table Grid"/>
    <w:basedOn w:val="63"/>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style>
  <w:style w:type="character" w:customStyle="1" w:styleId="65">
    <w:name w:val="标题 1 Char"/>
    <w:basedOn w:val="48"/>
    <w:link w:val="2"/>
    <w:qFormat/>
    <w:uiPriority w:val="0"/>
    <w:rPr>
      <w:rFonts w:ascii="Times New Roman" w:hAnsi="Times New Roman" w:eastAsia="宋体" w:cs="Times New Roman"/>
      <w:b/>
      <w:kern w:val="44"/>
      <w:sz w:val="32"/>
      <w:szCs w:val="20"/>
    </w:rPr>
  </w:style>
  <w:style w:type="character" w:customStyle="1" w:styleId="66">
    <w:name w:val="正文缩进 Char"/>
    <w:link w:val="4"/>
    <w:uiPriority w:val="0"/>
    <w:rPr>
      <w:rFonts w:ascii="Times New Roman" w:hAnsi="Times New Roman" w:eastAsia="宋体" w:cs="Times New Roman"/>
      <w:szCs w:val="20"/>
    </w:rPr>
  </w:style>
  <w:style w:type="character" w:customStyle="1" w:styleId="67">
    <w:name w:val="标题 2 Char"/>
    <w:basedOn w:val="48"/>
    <w:link w:val="3"/>
    <w:qFormat/>
    <w:uiPriority w:val="0"/>
    <w:rPr>
      <w:rFonts w:ascii="Arial" w:hAnsi="Arial" w:eastAsia="黑体" w:cs="Times New Roman"/>
      <w:b/>
      <w:sz w:val="28"/>
      <w:szCs w:val="20"/>
    </w:rPr>
  </w:style>
  <w:style w:type="character" w:customStyle="1" w:styleId="68">
    <w:name w:val="标题 3 Char"/>
    <w:basedOn w:val="48"/>
    <w:link w:val="5"/>
    <w:uiPriority w:val="0"/>
    <w:rPr>
      <w:rFonts w:ascii="Times New Roman" w:hAnsi="Times New Roman" w:eastAsia="宋体" w:cs="Times New Roman"/>
      <w:b/>
      <w:sz w:val="32"/>
      <w:szCs w:val="20"/>
    </w:rPr>
  </w:style>
  <w:style w:type="character" w:customStyle="1" w:styleId="69">
    <w:name w:val="标题 4 Char"/>
    <w:basedOn w:val="48"/>
    <w:link w:val="6"/>
    <w:uiPriority w:val="0"/>
    <w:rPr>
      <w:rFonts w:ascii="Arial" w:hAnsi="Arial" w:eastAsia="黑体" w:cs="Times New Roman"/>
      <w:b/>
      <w:bCs/>
      <w:sz w:val="28"/>
      <w:szCs w:val="28"/>
    </w:rPr>
  </w:style>
  <w:style w:type="character" w:customStyle="1" w:styleId="70">
    <w:name w:val="标题 5 Char"/>
    <w:basedOn w:val="48"/>
    <w:link w:val="7"/>
    <w:uiPriority w:val="0"/>
    <w:rPr>
      <w:rFonts w:ascii="Times New Roman" w:hAnsi="Times New Roman" w:eastAsia="宋体" w:cs="Times New Roman"/>
      <w:b/>
      <w:sz w:val="28"/>
      <w:szCs w:val="24"/>
    </w:rPr>
  </w:style>
  <w:style w:type="character" w:customStyle="1" w:styleId="71">
    <w:name w:val="标题 6 Char"/>
    <w:basedOn w:val="48"/>
    <w:link w:val="8"/>
    <w:uiPriority w:val="0"/>
    <w:rPr>
      <w:rFonts w:ascii="Arial" w:hAnsi="Arial" w:eastAsia="黑体" w:cs="Times New Roman"/>
      <w:b/>
      <w:sz w:val="24"/>
      <w:szCs w:val="24"/>
    </w:rPr>
  </w:style>
  <w:style w:type="character" w:customStyle="1" w:styleId="72">
    <w:name w:val="标题 7 Char"/>
    <w:basedOn w:val="48"/>
    <w:link w:val="9"/>
    <w:qFormat/>
    <w:uiPriority w:val="0"/>
    <w:rPr>
      <w:rFonts w:ascii="Times New Roman" w:hAnsi="Times New Roman" w:eastAsia="宋体" w:cs="Times New Roman"/>
      <w:b/>
      <w:sz w:val="24"/>
      <w:szCs w:val="24"/>
    </w:rPr>
  </w:style>
  <w:style w:type="character" w:customStyle="1" w:styleId="73">
    <w:name w:val="标题 8 Char"/>
    <w:basedOn w:val="48"/>
    <w:link w:val="10"/>
    <w:qFormat/>
    <w:uiPriority w:val="0"/>
    <w:rPr>
      <w:rFonts w:ascii="Arial" w:hAnsi="Arial" w:eastAsia="黑体" w:cs="Times New Roman"/>
      <w:sz w:val="24"/>
      <w:szCs w:val="24"/>
    </w:rPr>
  </w:style>
  <w:style w:type="character" w:customStyle="1" w:styleId="74">
    <w:name w:val="标题 9 Char"/>
    <w:basedOn w:val="48"/>
    <w:link w:val="11"/>
    <w:qFormat/>
    <w:uiPriority w:val="0"/>
    <w:rPr>
      <w:rFonts w:ascii="Arial" w:hAnsi="Arial" w:eastAsia="黑体" w:cs="Times New Roman"/>
      <w:szCs w:val="24"/>
    </w:rPr>
  </w:style>
  <w:style w:type="character" w:customStyle="1" w:styleId="75">
    <w:name w:val="正文文本 Char"/>
    <w:basedOn w:val="48"/>
    <w:link w:val="15"/>
    <w:uiPriority w:val="0"/>
    <w:rPr>
      <w:rFonts w:ascii="Times New Roman" w:hAnsi="Times New Roman" w:eastAsia="宋体" w:cs="Times New Roman"/>
      <w:szCs w:val="20"/>
    </w:rPr>
  </w:style>
  <w:style w:type="character" w:customStyle="1" w:styleId="76">
    <w:name w:val="正文首行缩进 Char"/>
    <w:basedOn w:val="75"/>
    <w:link w:val="14"/>
    <w:qFormat/>
    <w:uiPriority w:val="0"/>
  </w:style>
  <w:style w:type="character" w:customStyle="1" w:styleId="77">
    <w:name w:val="文档结构图 Char1"/>
    <w:basedOn w:val="48"/>
    <w:link w:val="16"/>
    <w:semiHidden/>
    <w:qFormat/>
    <w:uiPriority w:val="99"/>
    <w:rPr>
      <w:rFonts w:ascii="宋体" w:hAnsi="Times New Roman" w:eastAsia="宋体" w:cs="Times New Roman"/>
      <w:sz w:val="18"/>
      <w:szCs w:val="18"/>
    </w:rPr>
  </w:style>
  <w:style w:type="character" w:customStyle="1" w:styleId="78">
    <w:name w:val="批注文字 Char1"/>
    <w:basedOn w:val="48"/>
    <w:link w:val="17"/>
    <w:semiHidden/>
    <w:uiPriority w:val="99"/>
    <w:rPr>
      <w:rFonts w:ascii="Times New Roman" w:hAnsi="Times New Roman" w:eastAsia="宋体" w:cs="Times New Roman"/>
      <w:szCs w:val="20"/>
    </w:rPr>
  </w:style>
  <w:style w:type="character" w:customStyle="1" w:styleId="79">
    <w:name w:val="称呼 Char"/>
    <w:basedOn w:val="48"/>
    <w:link w:val="18"/>
    <w:qFormat/>
    <w:uiPriority w:val="0"/>
    <w:rPr>
      <w:rFonts w:ascii="Times New Roman" w:hAnsi="Times New Roman" w:eastAsia="宋体" w:cs="Times New Roman"/>
      <w:bCs/>
      <w:sz w:val="28"/>
      <w:szCs w:val="20"/>
    </w:rPr>
  </w:style>
  <w:style w:type="character" w:customStyle="1" w:styleId="80">
    <w:name w:val="正文文本 3 Char"/>
    <w:basedOn w:val="48"/>
    <w:link w:val="19"/>
    <w:qFormat/>
    <w:uiPriority w:val="0"/>
    <w:rPr>
      <w:rFonts w:ascii="Times New Roman" w:hAnsi="Times New Roman" w:eastAsia="宋体" w:cs="Times New Roman"/>
      <w:b/>
      <w:bCs/>
      <w:sz w:val="24"/>
      <w:szCs w:val="24"/>
    </w:rPr>
  </w:style>
  <w:style w:type="character" w:customStyle="1" w:styleId="81">
    <w:name w:val="结束语 Char"/>
    <w:basedOn w:val="48"/>
    <w:link w:val="20"/>
    <w:uiPriority w:val="0"/>
    <w:rPr>
      <w:rFonts w:ascii="Times New Roman" w:hAnsi="Times New Roman" w:eastAsia="宋体" w:cs="Times New Roman"/>
      <w:bCs/>
      <w:sz w:val="28"/>
      <w:szCs w:val="20"/>
    </w:rPr>
  </w:style>
  <w:style w:type="character" w:customStyle="1" w:styleId="82">
    <w:name w:val="正文文本缩进 Char1"/>
    <w:basedOn w:val="48"/>
    <w:link w:val="21"/>
    <w:semiHidden/>
    <w:qFormat/>
    <w:uiPriority w:val="99"/>
    <w:rPr>
      <w:rFonts w:ascii="Times New Roman" w:hAnsi="Times New Roman" w:eastAsia="宋体" w:cs="Times New Roman"/>
      <w:szCs w:val="20"/>
    </w:rPr>
  </w:style>
  <w:style w:type="character" w:customStyle="1" w:styleId="83">
    <w:name w:val="HTML 地址 Char"/>
    <w:basedOn w:val="48"/>
    <w:link w:val="25"/>
    <w:qFormat/>
    <w:uiPriority w:val="0"/>
    <w:rPr>
      <w:rFonts w:ascii="Times New Roman" w:hAnsi="Times New Roman" w:eastAsia="宋体" w:cs="Times New Roman"/>
      <w:i/>
      <w:iCs/>
      <w:szCs w:val="24"/>
    </w:rPr>
  </w:style>
  <w:style w:type="character" w:customStyle="1" w:styleId="84">
    <w:name w:val="纯文本 Char1"/>
    <w:basedOn w:val="48"/>
    <w:link w:val="28"/>
    <w:qFormat/>
    <w:uiPriority w:val="99"/>
    <w:rPr>
      <w:rFonts w:ascii="宋体" w:hAnsi="Courier New" w:eastAsia="宋体" w:cs="Courier New"/>
      <w:szCs w:val="21"/>
    </w:rPr>
  </w:style>
  <w:style w:type="character" w:customStyle="1" w:styleId="85">
    <w:name w:val="日期 Char1"/>
    <w:basedOn w:val="48"/>
    <w:link w:val="30"/>
    <w:semiHidden/>
    <w:qFormat/>
    <w:uiPriority w:val="99"/>
    <w:rPr>
      <w:rFonts w:ascii="Times New Roman" w:hAnsi="Times New Roman" w:eastAsia="宋体" w:cs="Times New Roman"/>
      <w:szCs w:val="20"/>
    </w:rPr>
  </w:style>
  <w:style w:type="character" w:customStyle="1" w:styleId="86">
    <w:name w:val="正文文本缩进 2 Char"/>
    <w:basedOn w:val="48"/>
    <w:link w:val="31"/>
    <w:qFormat/>
    <w:uiPriority w:val="0"/>
    <w:rPr>
      <w:rFonts w:ascii="Times New Roman" w:hAnsi="Times New Roman" w:eastAsia="宋体" w:cs="Times New Roman"/>
      <w:sz w:val="32"/>
      <w:szCs w:val="20"/>
    </w:rPr>
  </w:style>
  <w:style w:type="character" w:customStyle="1" w:styleId="87">
    <w:name w:val="批注框文本 Char"/>
    <w:basedOn w:val="48"/>
    <w:link w:val="32"/>
    <w:uiPriority w:val="0"/>
    <w:rPr>
      <w:rFonts w:ascii="Times New Roman" w:hAnsi="Times New Roman" w:eastAsia="宋体" w:cs="Times New Roman"/>
      <w:sz w:val="18"/>
      <w:szCs w:val="18"/>
    </w:rPr>
  </w:style>
  <w:style w:type="character" w:customStyle="1" w:styleId="88">
    <w:name w:val="页脚 Char"/>
    <w:basedOn w:val="48"/>
    <w:link w:val="33"/>
    <w:qFormat/>
    <w:uiPriority w:val="99"/>
    <w:rPr>
      <w:sz w:val="18"/>
      <w:szCs w:val="18"/>
    </w:rPr>
  </w:style>
  <w:style w:type="character" w:customStyle="1" w:styleId="89">
    <w:name w:val="页眉 Char"/>
    <w:basedOn w:val="48"/>
    <w:link w:val="34"/>
    <w:uiPriority w:val="0"/>
    <w:rPr>
      <w:sz w:val="18"/>
      <w:szCs w:val="18"/>
    </w:rPr>
  </w:style>
  <w:style w:type="character" w:customStyle="1" w:styleId="90">
    <w:name w:val="副标题 Char1"/>
    <w:basedOn w:val="48"/>
    <w:link w:val="37"/>
    <w:qFormat/>
    <w:uiPriority w:val="11"/>
    <w:rPr>
      <w:rFonts w:eastAsia="宋体" w:asciiTheme="majorHAnsi" w:hAnsiTheme="majorHAnsi" w:cstheme="majorBidi"/>
      <w:b/>
      <w:bCs/>
      <w:kern w:val="28"/>
      <w:sz w:val="32"/>
      <w:szCs w:val="32"/>
    </w:rPr>
  </w:style>
  <w:style w:type="character" w:customStyle="1" w:styleId="91">
    <w:name w:val="脚注文本 Char"/>
    <w:basedOn w:val="48"/>
    <w:link w:val="38"/>
    <w:semiHidden/>
    <w:uiPriority w:val="0"/>
    <w:rPr>
      <w:rFonts w:ascii="Times New Roman" w:hAnsi="Times New Roman" w:eastAsia="宋体" w:cs="Times New Roman"/>
      <w:sz w:val="18"/>
      <w:szCs w:val="18"/>
    </w:rPr>
  </w:style>
  <w:style w:type="character" w:customStyle="1" w:styleId="92">
    <w:name w:val="正文文本缩进 3 Char"/>
    <w:basedOn w:val="48"/>
    <w:link w:val="40"/>
    <w:qFormat/>
    <w:uiPriority w:val="0"/>
    <w:rPr>
      <w:rFonts w:ascii="黑体" w:hAnsi="Times New Roman" w:eastAsia="黑体" w:cs="Times New Roman"/>
      <w:sz w:val="30"/>
      <w:szCs w:val="28"/>
    </w:rPr>
  </w:style>
  <w:style w:type="character" w:customStyle="1" w:styleId="93">
    <w:name w:val="正文文本 2 Char"/>
    <w:basedOn w:val="48"/>
    <w:link w:val="44"/>
    <w:qFormat/>
    <w:uiPriority w:val="0"/>
    <w:rPr>
      <w:rFonts w:ascii="Times New Roman" w:hAnsi="Times New Roman" w:eastAsia="宋体" w:cs="Times New Roman"/>
      <w:szCs w:val="24"/>
    </w:rPr>
  </w:style>
  <w:style w:type="character" w:customStyle="1" w:styleId="94">
    <w:name w:val="HTML 预设格式 Char1"/>
    <w:basedOn w:val="48"/>
    <w:link w:val="45"/>
    <w:semiHidden/>
    <w:qFormat/>
    <w:uiPriority w:val="99"/>
    <w:rPr>
      <w:rFonts w:ascii="Courier New" w:hAnsi="Courier New" w:eastAsia="宋体" w:cs="Courier New"/>
      <w:sz w:val="20"/>
      <w:szCs w:val="20"/>
    </w:rPr>
  </w:style>
  <w:style w:type="character" w:customStyle="1" w:styleId="95">
    <w:name w:val="普通(网站) Char"/>
    <w:link w:val="46"/>
    <w:qFormat/>
    <w:uiPriority w:val="0"/>
    <w:rPr>
      <w:rFonts w:ascii="宋体" w:hAnsi="宋体" w:eastAsia="宋体" w:cs="Times New Roman"/>
      <w:kern w:val="0"/>
      <w:sz w:val="18"/>
      <w:szCs w:val="18"/>
    </w:rPr>
  </w:style>
  <w:style w:type="character" w:customStyle="1" w:styleId="96">
    <w:name w:val="标题 Char"/>
    <w:basedOn w:val="48"/>
    <w:link w:val="47"/>
    <w:uiPriority w:val="0"/>
    <w:rPr>
      <w:rFonts w:ascii="Cambria" w:hAnsi="Cambria" w:eastAsia="宋体" w:cs="Times New Roman"/>
      <w:b/>
      <w:bCs/>
      <w:sz w:val="32"/>
      <w:szCs w:val="32"/>
    </w:rPr>
  </w:style>
  <w:style w:type="character" w:customStyle="1" w:styleId="97">
    <w:name w:val="k正文 Char Char"/>
    <w:link w:val="98"/>
    <w:qFormat/>
    <w:uiPriority w:val="0"/>
    <w:rPr>
      <w:rFonts w:eastAsia="宋体"/>
      <w:sz w:val="24"/>
    </w:rPr>
  </w:style>
  <w:style w:type="paragraph" w:customStyle="1" w:styleId="98">
    <w:name w:val="k正文"/>
    <w:basedOn w:val="1"/>
    <w:link w:val="97"/>
    <w:qFormat/>
    <w:uiPriority w:val="0"/>
    <w:pPr>
      <w:spacing w:afterLines="50" w:line="360" w:lineRule="auto"/>
      <w:ind w:firstLine="480" w:firstLineChars="200"/>
    </w:pPr>
    <w:rPr>
      <w:rFonts w:asciiTheme="minorHAnsi" w:hAnsiTheme="minorHAnsi" w:cstheme="minorBidi"/>
      <w:sz w:val="24"/>
      <w:szCs w:val="22"/>
    </w:rPr>
  </w:style>
  <w:style w:type="character" w:customStyle="1" w:styleId="99">
    <w:name w:val="Char Char10"/>
    <w:qFormat/>
    <w:uiPriority w:val="0"/>
    <w:rPr>
      <w:rFonts w:eastAsia="宋体"/>
      <w:b/>
      <w:kern w:val="44"/>
      <w:sz w:val="32"/>
      <w:lang w:val="en-US" w:eastAsia="zh-CN" w:bidi="ar-SA"/>
    </w:rPr>
  </w:style>
  <w:style w:type="character" w:customStyle="1" w:styleId="100">
    <w:name w:val="ca-41"/>
    <w:qFormat/>
    <w:uiPriority w:val="0"/>
    <w:rPr>
      <w:rFonts w:hint="eastAsia" w:ascii="宋体" w:hAnsi="宋体" w:eastAsia="宋体"/>
      <w:color w:val="000000"/>
      <w:sz w:val="16"/>
      <w:szCs w:val="16"/>
    </w:rPr>
  </w:style>
  <w:style w:type="character" w:customStyle="1" w:styleId="101">
    <w:name w:val="样式 首行缩进:  2 字符1 Char Char"/>
    <w:link w:val="102"/>
    <w:qFormat/>
    <w:uiPriority w:val="0"/>
    <w:rPr>
      <w:rFonts w:eastAsia="宋体"/>
      <w:sz w:val="24"/>
    </w:rPr>
  </w:style>
  <w:style w:type="paragraph" w:customStyle="1" w:styleId="102">
    <w:name w:val="样式 首行缩进:  2 字符1"/>
    <w:basedOn w:val="1"/>
    <w:link w:val="101"/>
    <w:qFormat/>
    <w:uiPriority w:val="0"/>
    <w:pPr>
      <w:spacing w:line="360" w:lineRule="auto"/>
      <w:ind w:firstLine="480" w:firstLineChars="200"/>
    </w:pPr>
    <w:rPr>
      <w:rFonts w:asciiTheme="minorHAnsi" w:hAnsiTheme="minorHAnsi" w:cstheme="minorBidi"/>
      <w:sz w:val="24"/>
      <w:szCs w:val="22"/>
    </w:rPr>
  </w:style>
  <w:style w:type="character" w:customStyle="1" w:styleId="103">
    <w:name w:val="UP标题3 Char Char"/>
    <w:link w:val="104"/>
    <w:uiPriority w:val="0"/>
    <w:rPr>
      <w:rFonts w:ascii="黑体" w:eastAsia="黑体" w:cs="宋体"/>
      <w:sz w:val="28"/>
      <w:szCs w:val="28"/>
    </w:rPr>
  </w:style>
  <w:style w:type="paragraph" w:customStyle="1" w:styleId="104">
    <w:name w:val="UP标题3"/>
    <w:basedOn w:val="1"/>
    <w:link w:val="103"/>
    <w:qFormat/>
    <w:uiPriority w:val="0"/>
    <w:pPr>
      <w:spacing w:line="360" w:lineRule="auto"/>
      <w:ind w:firstLine="149" w:firstLineChars="149"/>
    </w:pPr>
    <w:rPr>
      <w:rFonts w:ascii="黑体" w:eastAsia="黑体" w:cs="宋体" w:hAnsiTheme="minorHAnsi"/>
      <w:sz w:val="28"/>
      <w:szCs w:val="28"/>
    </w:rPr>
  </w:style>
  <w:style w:type="character" w:customStyle="1" w:styleId="105">
    <w:name w:val="Char Char Char"/>
    <w:qFormat/>
    <w:uiPriority w:val="0"/>
    <w:rPr>
      <w:rFonts w:eastAsia="宋体"/>
      <w:b/>
      <w:kern w:val="2"/>
      <w:sz w:val="32"/>
      <w:lang w:val="en-US" w:eastAsia="zh-CN" w:bidi="ar-SA"/>
    </w:rPr>
  </w:style>
  <w:style w:type="character" w:customStyle="1" w:styleId="106">
    <w:name w:val="正文首行缩进两字符 Char Char"/>
    <w:qFormat/>
    <w:uiPriority w:val="0"/>
    <w:rPr>
      <w:rFonts w:eastAsia="宋体"/>
      <w:kern w:val="2"/>
      <w:sz w:val="21"/>
      <w:szCs w:val="24"/>
      <w:lang w:val="en-US" w:eastAsia="zh-CN" w:bidi="ar-SA"/>
    </w:rPr>
  </w:style>
  <w:style w:type="character" w:customStyle="1" w:styleId="107">
    <w:name w:val="HTML 预设格式 Char"/>
    <w:link w:val="45"/>
    <w:uiPriority w:val="0"/>
    <w:rPr>
      <w:rFonts w:ascii="Courier New" w:hAnsi="Courier New"/>
    </w:rPr>
  </w:style>
  <w:style w:type="character" w:customStyle="1" w:styleId="108">
    <w:name w:val="批注文字 Char"/>
    <w:link w:val="17"/>
    <w:uiPriority w:val="0"/>
    <w:rPr>
      <w:rFonts w:ascii="Arial" w:hAnsi="Arial" w:eastAsia="宋体" w:cs="Arial"/>
      <w:sz w:val="18"/>
    </w:rPr>
  </w:style>
  <w:style w:type="character" w:customStyle="1" w:styleId="109">
    <w:name w:val="列出段落 Char1"/>
    <w:link w:val="110"/>
    <w:uiPriority w:val="0"/>
    <w:rPr>
      <w:rFonts w:ascii="Calibri" w:hAnsi="Calibri" w:eastAsia="宋体"/>
    </w:rPr>
  </w:style>
  <w:style w:type="paragraph" w:customStyle="1" w:styleId="110">
    <w:name w:val="列出段落1"/>
    <w:basedOn w:val="1"/>
    <w:link w:val="109"/>
    <w:qFormat/>
    <w:uiPriority w:val="0"/>
    <w:pPr>
      <w:ind w:firstLine="420" w:firstLineChars="200"/>
    </w:pPr>
    <w:rPr>
      <w:rFonts w:ascii="Calibri" w:hAnsi="Calibri" w:cstheme="minorBidi"/>
      <w:szCs w:val="22"/>
    </w:rPr>
  </w:style>
  <w:style w:type="character" w:customStyle="1" w:styleId="111">
    <w:name w:val="textnorm_chn1"/>
    <w:qFormat/>
    <w:uiPriority w:val="0"/>
    <w:rPr>
      <w:rFonts w:hint="default" w:ascii="Arial" w:hAnsi="Arial" w:cs="Arial"/>
      <w:color w:val="21254A"/>
      <w:sz w:val="22"/>
      <w:szCs w:val="22"/>
    </w:rPr>
  </w:style>
  <w:style w:type="character" w:customStyle="1" w:styleId="112">
    <w:name w:val="lh131"/>
    <w:qFormat/>
    <w:uiPriority w:val="0"/>
  </w:style>
  <w:style w:type="character" w:customStyle="1" w:styleId="113">
    <w:name w:val="正文文本缩进 Char"/>
    <w:link w:val="21"/>
    <w:uiPriority w:val="0"/>
    <w:rPr>
      <w:rFonts w:eastAsia="宋体"/>
      <w:sz w:val="32"/>
    </w:rPr>
  </w:style>
  <w:style w:type="character" w:customStyle="1" w:styleId="114">
    <w:name w:val="style7"/>
    <w:basedOn w:val="48"/>
    <w:qFormat/>
    <w:uiPriority w:val="0"/>
  </w:style>
  <w:style w:type="character" w:customStyle="1" w:styleId="115">
    <w:name w:val="日期 Char"/>
    <w:link w:val="30"/>
    <w:qFormat/>
    <w:uiPriority w:val="0"/>
    <w:rPr>
      <w:rFonts w:eastAsia="黑体"/>
      <w:sz w:val="36"/>
    </w:rPr>
  </w:style>
  <w:style w:type="character" w:customStyle="1" w:styleId="116">
    <w:name w:val="样式0 Char Char"/>
    <w:link w:val="117"/>
    <w:uiPriority w:val="0"/>
    <w:rPr>
      <w:rFonts w:ascii="Arial" w:hAnsi="Arial" w:eastAsia="黑体" w:cs="Arial"/>
      <w:sz w:val="44"/>
      <w:szCs w:val="32"/>
    </w:rPr>
  </w:style>
  <w:style w:type="paragraph" w:customStyle="1" w:styleId="117">
    <w:name w:val="样式0"/>
    <w:basedOn w:val="47"/>
    <w:link w:val="116"/>
    <w:qFormat/>
    <w:uiPriority w:val="0"/>
    <w:pPr>
      <w:keepNext/>
      <w:keepLines/>
      <w:spacing w:line="416" w:lineRule="auto"/>
      <w:ind w:left="420" w:hanging="420"/>
    </w:pPr>
    <w:rPr>
      <w:rFonts w:ascii="Arial" w:hAnsi="Arial" w:eastAsia="黑体" w:cs="Arial"/>
      <w:b w:val="0"/>
      <w:bCs w:val="0"/>
      <w:sz w:val="44"/>
    </w:rPr>
  </w:style>
  <w:style w:type="character" w:customStyle="1" w:styleId="118">
    <w:name w:val="一级条标题 Char Char"/>
    <w:link w:val="119"/>
    <w:uiPriority w:val="0"/>
    <w:rPr>
      <w:rFonts w:ascii="黑体" w:eastAsia="黑体"/>
    </w:rPr>
  </w:style>
  <w:style w:type="paragraph" w:customStyle="1" w:styleId="119">
    <w:name w:val="一级条标题"/>
    <w:basedOn w:val="2"/>
    <w:next w:val="1"/>
    <w:link w:val="118"/>
    <w:qFormat/>
    <w:uiPriority w:val="0"/>
    <w:pPr>
      <w:keepNext w:val="0"/>
      <w:keepLines w:val="0"/>
      <w:widowControl/>
      <w:spacing w:before="0" w:after="0" w:line="240" w:lineRule="auto"/>
      <w:outlineLvl w:val="2"/>
    </w:pPr>
    <w:rPr>
      <w:rFonts w:ascii="黑体" w:eastAsia="黑体" w:hAnsiTheme="minorHAnsi" w:cstheme="minorBidi"/>
      <w:b w:val="0"/>
      <w:kern w:val="2"/>
      <w:sz w:val="21"/>
      <w:szCs w:val="22"/>
    </w:rPr>
  </w:style>
  <w:style w:type="character" w:customStyle="1" w:styleId="120">
    <w:name w:val="Heading 1 Char"/>
    <w:uiPriority w:val="0"/>
    <w:rPr>
      <w:rFonts w:eastAsia="宋体"/>
      <w:b/>
      <w:bCs/>
      <w:kern w:val="44"/>
      <w:sz w:val="44"/>
      <w:szCs w:val="44"/>
      <w:lang w:val="en-US" w:eastAsia="zh-CN" w:bidi="ar-SA"/>
    </w:rPr>
  </w:style>
  <w:style w:type="character" w:customStyle="1" w:styleId="121">
    <w:name w:val="标题 4_1 Char Char"/>
    <w:link w:val="122"/>
    <w:qFormat/>
    <w:uiPriority w:val="0"/>
    <w:rPr>
      <w:rFonts w:ascii="Cambria" w:hAnsi="Cambria" w:eastAsia="宋体"/>
      <w:b/>
      <w:bCs/>
      <w:sz w:val="28"/>
      <w:szCs w:val="28"/>
    </w:rPr>
  </w:style>
  <w:style w:type="paragraph" w:customStyle="1" w:styleId="122">
    <w:name w:val="标题 4_1"/>
    <w:basedOn w:val="6"/>
    <w:next w:val="4"/>
    <w:link w:val="121"/>
    <w:qFormat/>
    <w:uiPriority w:val="0"/>
    <w:pPr>
      <w:keepNext w:val="0"/>
      <w:keepLines w:val="0"/>
      <w:tabs>
        <w:tab w:val="left" w:pos="751"/>
      </w:tabs>
      <w:spacing w:line="377" w:lineRule="auto"/>
      <w:ind w:left="751" w:hanging="144"/>
    </w:pPr>
    <w:rPr>
      <w:rFonts w:ascii="Cambria" w:hAnsi="Cambria" w:eastAsia="宋体" w:cstheme="minorBidi"/>
    </w:rPr>
  </w:style>
  <w:style w:type="character" w:customStyle="1" w:styleId="123">
    <w:name w:val="样式2 Char Char"/>
    <w:link w:val="124"/>
    <w:uiPriority w:val="0"/>
    <w:rPr>
      <w:rFonts w:ascii="宋体" w:hAnsi="宋体" w:eastAsia="宋体"/>
      <w:b/>
      <w:sz w:val="28"/>
    </w:rPr>
  </w:style>
  <w:style w:type="paragraph" w:customStyle="1" w:styleId="124">
    <w:name w:val="样式2"/>
    <w:basedOn w:val="125"/>
    <w:link w:val="123"/>
    <w:qFormat/>
    <w:uiPriority w:val="0"/>
    <w:pPr>
      <w:tabs>
        <w:tab w:val="left" w:pos="720"/>
      </w:tabs>
      <w:spacing w:before="120" w:after="120" w:line="360" w:lineRule="auto"/>
    </w:pPr>
    <w:rPr>
      <w:rFonts w:cstheme="minorBidi"/>
      <w:sz w:val="28"/>
      <w:szCs w:val="22"/>
    </w:rPr>
  </w:style>
  <w:style w:type="paragraph" w:customStyle="1" w:styleId="125">
    <w:name w:val="样式1"/>
    <w:basedOn w:val="3"/>
    <w:link w:val="126"/>
    <w:qFormat/>
    <w:uiPriority w:val="0"/>
    <w:pPr>
      <w:tabs>
        <w:tab w:val="left" w:pos="720"/>
      </w:tabs>
      <w:spacing w:line="416" w:lineRule="auto"/>
    </w:pPr>
    <w:rPr>
      <w:rFonts w:ascii="宋体" w:hAnsi="宋体" w:eastAsia="宋体"/>
      <w:sz w:val="36"/>
    </w:rPr>
  </w:style>
  <w:style w:type="character" w:customStyle="1" w:styleId="126">
    <w:name w:val="样式1 Char Char"/>
    <w:link w:val="125"/>
    <w:uiPriority w:val="0"/>
    <w:rPr>
      <w:rFonts w:ascii="宋体" w:hAnsi="宋体" w:eastAsia="宋体" w:cs="Times New Roman"/>
      <w:b/>
      <w:sz w:val="36"/>
      <w:szCs w:val="20"/>
    </w:rPr>
  </w:style>
  <w:style w:type="character" w:customStyle="1" w:styleId="127">
    <w:name w:val="question-title"/>
    <w:basedOn w:val="48"/>
    <w:uiPriority w:val="0"/>
  </w:style>
  <w:style w:type="character" w:customStyle="1" w:styleId="128">
    <w:name w:val="Char Char6"/>
    <w:qFormat/>
    <w:uiPriority w:val="0"/>
    <w:rPr>
      <w:rFonts w:ascii="Times New Roman" w:hAnsi="Times New Roman" w:eastAsia="宋体" w:cs="Times New Roman"/>
      <w:sz w:val="18"/>
      <w:szCs w:val="18"/>
    </w:rPr>
  </w:style>
  <w:style w:type="character" w:customStyle="1" w:styleId="129">
    <w:name w:val="纯文本 Char"/>
    <w:link w:val="28"/>
    <w:qFormat/>
    <w:uiPriority w:val="0"/>
    <w:rPr>
      <w:rFonts w:ascii="宋体" w:hAnsi="Courier New" w:eastAsia="宋体" w:cs="Courier New"/>
      <w:szCs w:val="21"/>
    </w:rPr>
  </w:style>
  <w:style w:type="character" w:customStyle="1" w:styleId="130">
    <w:name w:val="副标题 Char"/>
    <w:link w:val="37"/>
    <w:qFormat/>
    <w:uiPriority w:val="0"/>
    <w:rPr>
      <w:rFonts w:ascii="Cambria" w:hAnsi="Cambria" w:eastAsia="宋体"/>
      <w:b/>
      <w:bCs/>
      <w:kern w:val="28"/>
      <w:sz w:val="32"/>
      <w:szCs w:val="32"/>
    </w:rPr>
  </w:style>
  <w:style w:type="character" w:customStyle="1" w:styleId="131">
    <w:name w:val="eng1"/>
    <w:uiPriority w:val="0"/>
    <w:rPr>
      <w:rFonts w:hint="default" w:ascii="Verdana" w:hAnsi="Verdana"/>
      <w:color w:val="3D3D3D"/>
      <w:sz w:val="18"/>
      <w:szCs w:val="18"/>
      <w:u w:val="none"/>
    </w:rPr>
  </w:style>
  <w:style w:type="character" w:customStyle="1" w:styleId="132">
    <w:name w:val="普通文字1 Char1"/>
    <w:uiPriority w:val="0"/>
    <w:rPr>
      <w:rFonts w:ascii="宋体" w:hAnsi="Courier New" w:eastAsia="宋体"/>
      <w:kern w:val="2"/>
      <w:sz w:val="21"/>
      <w:lang w:val="en-US" w:eastAsia="zh-CN" w:bidi="ar-SA"/>
    </w:rPr>
  </w:style>
  <w:style w:type="character" w:customStyle="1" w:styleId="133">
    <w:name w:val="Table Text Char1"/>
    <w:link w:val="134"/>
    <w:uiPriority w:val="0"/>
    <w:rPr>
      <w:rFonts w:eastAsia="宋体"/>
      <w:szCs w:val="24"/>
    </w:rPr>
  </w:style>
  <w:style w:type="paragraph" w:customStyle="1" w:styleId="134">
    <w:name w:val="Table Text"/>
    <w:basedOn w:val="1"/>
    <w:link w:val="133"/>
    <w:qFormat/>
    <w:uiPriority w:val="0"/>
    <w:pPr>
      <w:widowControl/>
      <w:spacing w:before="60" w:after="60"/>
      <w:jc w:val="left"/>
    </w:pPr>
    <w:rPr>
      <w:rFonts w:asciiTheme="minorHAnsi" w:hAnsiTheme="minorHAnsi" w:cstheme="minorBidi"/>
      <w:szCs w:val="24"/>
    </w:rPr>
  </w:style>
  <w:style w:type="character" w:customStyle="1" w:styleId="135">
    <w:name w:val="GW-正文 Char Char"/>
    <w:link w:val="136"/>
    <w:uiPriority w:val="0"/>
    <w:rPr>
      <w:rFonts w:eastAsia="仿宋_GB2312"/>
      <w:sz w:val="24"/>
      <w:szCs w:val="24"/>
    </w:rPr>
  </w:style>
  <w:style w:type="paragraph" w:customStyle="1" w:styleId="136">
    <w:name w:val="GW-正文"/>
    <w:basedOn w:val="1"/>
    <w:link w:val="135"/>
    <w:qFormat/>
    <w:uiPriority w:val="0"/>
    <w:pPr>
      <w:spacing w:line="360" w:lineRule="auto"/>
      <w:ind w:firstLine="200" w:firstLineChars="200"/>
    </w:pPr>
    <w:rPr>
      <w:rFonts w:eastAsia="仿宋_GB2312" w:asciiTheme="minorHAnsi" w:hAnsiTheme="minorHAnsi" w:cstheme="minorBidi"/>
      <w:sz w:val="24"/>
      <w:szCs w:val="24"/>
    </w:rPr>
  </w:style>
  <w:style w:type="character" w:customStyle="1" w:styleId="137">
    <w:name w:val="文档结构图 Char"/>
    <w:link w:val="16"/>
    <w:uiPriority w:val="0"/>
    <w:rPr>
      <w:rFonts w:eastAsia="宋体"/>
      <w:shd w:val="clear" w:color="auto" w:fill="000080"/>
    </w:rPr>
  </w:style>
  <w:style w:type="character" w:customStyle="1" w:styleId="138">
    <w:name w:val="Item List Char Char"/>
    <w:link w:val="139"/>
    <w:qFormat/>
    <w:uiPriority w:val="0"/>
    <w:rPr>
      <w:szCs w:val="24"/>
    </w:rPr>
  </w:style>
  <w:style w:type="paragraph" w:customStyle="1" w:styleId="139">
    <w:name w:val="Item List"/>
    <w:basedOn w:val="1"/>
    <w:link w:val="138"/>
    <w:qFormat/>
    <w:uiPriority w:val="0"/>
    <w:pPr>
      <w:tabs>
        <w:tab w:val="left" w:pos="420"/>
      </w:tabs>
      <w:snapToGrid w:val="0"/>
      <w:spacing w:afterLines="50"/>
      <w:ind w:left="420" w:hanging="420"/>
      <w:jc w:val="left"/>
    </w:pPr>
    <w:rPr>
      <w:rFonts w:asciiTheme="minorHAnsi" w:hAnsiTheme="minorHAnsi" w:eastAsiaTheme="minorEastAsia" w:cstheme="minorBidi"/>
      <w:szCs w:val="24"/>
    </w:rPr>
  </w:style>
  <w:style w:type="character" w:customStyle="1" w:styleId="140">
    <w:name w:val="unnamed31"/>
    <w:qFormat/>
    <w:uiPriority w:val="0"/>
    <w:rPr>
      <w:sz w:val="22"/>
      <w:szCs w:val="22"/>
    </w:rPr>
  </w:style>
  <w:style w:type="character" w:customStyle="1" w:styleId="141">
    <w:name w:val="h Char"/>
    <w:uiPriority w:val="99"/>
    <w:rPr>
      <w:rFonts w:eastAsia="宋体"/>
      <w:kern w:val="2"/>
      <w:sz w:val="18"/>
      <w:szCs w:val="18"/>
      <w:lang w:val="en-US" w:eastAsia="zh-CN" w:bidi="ar-SA"/>
    </w:rPr>
  </w:style>
  <w:style w:type="character" w:customStyle="1" w:styleId="142">
    <w:name w:val="标题 3 Char Char Char"/>
    <w:uiPriority w:val="0"/>
    <w:rPr>
      <w:rFonts w:eastAsia="宋体"/>
      <w:b/>
      <w:kern w:val="2"/>
      <w:sz w:val="32"/>
      <w:lang w:val="en-US" w:eastAsia="zh-CN" w:bidi="ar-SA"/>
    </w:rPr>
  </w:style>
  <w:style w:type="character" w:customStyle="1" w:styleId="143">
    <w:name w:val="Char Char5"/>
    <w:qFormat/>
    <w:uiPriority w:val="0"/>
    <w:rPr>
      <w:rFonts w:ascii="宋体" w:hAnsi="Courier New" w:eastAsia="宋体" w:cs="Times New Roman"/>
      <w:szCs w:val="20"/>
    </w:rPr>
  </w:style>
  <w:style w:type="paragraph" w:customStyle="1" w:styleId="144">
    <w:name w:val="正文首行缩进两字符"/>
    <w:basedOn w:val="1"/>
    <w:qFormat/>
    <w:uiPriority w:val="0"/>
    <w:pPr>
      <w:spacing w:line="360" w:lineRule="auto"/>
      <w:ind w:firstLine="200" w:firstLineChars="200"/>
    </w:pPr>
    <w:rPr>
      <w:szCs w:val="24"/>
    </w:rPr>
  </w:style>
  <w:style w:type="paragraph" w:customStyle="1" w:styleId="145">
    <w:name w:val="列出段落111"/>
    <w:basedOn w:val="1"/>
    <w:qFormat/>
    <w:uiPriority w:val="0"/>
    <w:pPr>
      <w:ind w:firstLine="420" w:firstLineChars="200"/>
    </w:pPr>
    <w:rPr>
      <w:rFonts w:ascii="Calibri" w:hAnsi="Calibri"/>
      <w:szCs w:val="22"/>
    </w:rPr>
  </w:style>
  <w:style w:type="paragraph" w:customStyle="1" w:styleId="146">
    <w:name w:val="È±Ê¡ÎÄ±¾"/>
    <w:basedOn w:val="1"/>
    <w:qFormat/>
    <w:uiPriority w:val="0"/>
    <w:pPr>
      <w:widowControl/>
      <w:overflowPunct w:val="0"/>
      <w:autoSpaceDE w:val="0"/>
      <w:autoSpaceDN w:val="0"/>
      <w:adjustRightInd w:val="0"/>
      <w:jc w:val="left"/>
      <w:textAlignment w:val="baseline"/>
    </w:pPr>
    <w:rPr>
      <w:kern w:val="0"/>
      <w:sz w:val="24"/>
    </w:rPr>
  </w:style>
  <w:style w:type="paragraph" w:customStyle="1" w:styleId="147">
    <w:name w:val="p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48">
    <w:name w:val="方案正文"/>
    <w:basedOn w:val="1"/>
    <w:qFormat/>
    <w:uiPriority w:val="0"/>
    <w:pPr>
      <w:spacing w:line="360" w:lineRule="auto"/>
      <w:ind w:left="210" w:leftChars="100" w:right="210" w:rightChars="100" w:firstLine="438" w:firstLineChars="199"/>
      <w:jc w:val="center"/>
    </w:pPr>
    <w:rPr>
      <w:rFonts w:ascii="宋体" w:hAnsi="宋体" w:cs="宋体"/>
      <w:kern w:val="0"/>
      <w:sz w:val="22"/>
      <w:szCs w:val="24"/>
    </w:rPr>
  </w:style>
  <w:style w:type="paragraph" w:customStyle="1" w:styleId="149">
    <w:name w:val="正文文本 21"/>
    <w:basedOn w:val="1"/>
    <w:uiPriority w:val="0"/>
    <w:pPr>
      <w:adjustRightInd w:val="0"/>
      <w:spacing w:line="300" w:lineRule="auto"/>
      <w:jc w:val="center"/>
      <w:textAlignment w:val="baseline"/>
    </w:pPr>
    <w:rPr>
      <w:rFonts w:ascii="宋体" w:hAnsi="宋体"/>
      <w:sz w:val="24"/>
    </w:rPr>
  </w:style>
  <w:style w:type="paragraph" w:customStyle="1" w:styleId="150">
    <w:name w:val="Char Char1 Char Char Char Char Char Char Char Char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151">
    <w:name w:val="Char Char1 Char Char Char Char Char Char Char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152">
    <w:name w:val="文档正文"/>
    <w:basedOn w:val="1"/>
    <w:qFormat/>
    <w:uiPriority w:val="0"/>
    <w:pPr>
      <w:adjustRightInd w:val="0"/>
      <w:spacing w:line="312" w:lineRule="atLeast"/>
      <w:ind w:firstLine="567"/>
      <w:textAlignment w:val="baseline"/>
    </w:pPr>
    <w:rPr>
      <w:kern w:val="0"/>
      <w:sz w:val="28"/>
    </w:rPr>
  </w:style>
  <w:style w:type="paragraph" w:customStyle="1" w:styleId="153">
    <w:name w:val="列表项目符号a"/>
    <w:basedOn w:val="24"/>
    <w:qFormat/>
    <w:uiPriority w:val="0"/>
    <w:pPr>
      <w:tabs>
        <w:tab w:val="clear" w:pos="987"/>
      </w:tabs>
      <w:spacing w:line="300" w:lineRule="auto"/>
      <w:ind w:left="0" w:firstLine="0"/>
    </w:pPr>
    <w:rPr>
      <w:rFonts w:ascii="楷体_GB2312" w:eastAsia="楷体_GB2312"/>
      <w:b/>
      <w:kern w:val="0"/>
    </w:rPr>
  </w:style>
  <w:style w:type="paragraph" w:customStyle="1" w:styleId="154">
    <w:name w:val="列表（符号一级）（绿盟科技）"/>
    <w:basedOn w:val="1"/>
    <w:qFormat/>
    <w:uiPriority w:val="0"/>
    <w:pPr>
      <w:widowControl/>
      <w:spacing w:line="300" w:lineRule="auto"/>
      <w:ind w:left="420" w:hanging="420"/>
      <w:jc w:val="left"/>
    </w:pPr>
    <w:rPr>
      <w:rFonts w:ascii="Arial" w:hAnsi="Arial"/>
      <w:kern w:val="0"/>
      <w:szCs w:val="21"/>
    </w:rPr>
  </w:style>
  <w:style w:type="paragraph" w:customStyle="1" w:styleId="155">
    <w:name w:val="二级条标题"/>
    <w:basedOn w:val="119"/>
    <w:next w:val="1"/>
    <w:link w:val="156"/>
    <w:qFormat/>
    <w:uiPriority w:val="0"/>
    <w:pPr>
      <w:ind w:left="1680" w:hanging="420"/>
      <w:outlineLvl w:val="3"/>
    </w:pPr>
  </w:style>
  <w:style w:type="character" w:customStyle="1" w:styleId="156">
    <w:name w:val="二级条标题 Char"/>
    <w:basedOn w:val="157"/>
    <w:link w:val="155"/>
    <w:uiPriority w:val="0"/>
  </w:style>
  <w:style w:type="character" w:customStyle="1" w:styleId="157">
    <w:name w:val="一级条标题 Char"/>
    <w:uiPriority w:val="0"/>
    <w:rPr>
      <w:rFonts w:ascii="黑体" w:eastAsia="黑体"/>
      <w:sz w:val="21"/>
      <w:lang w:val="en-US" w:eastAsia="zh-CN" w:bidi="ar-SA"/>
    </w:rPr>
  </w:style>
  <w:style w:type="paragraph" w:customStyle="1" w:styleId="158">
    <w:name w:val="TOC 标题1"/>
    <w:basedOn w:val="2"/>
    <w:next w:val="1"/>
    <w:qFormat/>
    <w:uiPriority w:val="0"/>
    <w:pPr>
      <w:widowControl/>
      <w:spacing w:before="480" w:after="0" w:line="276" w:lineRule="auto"/>
      <w:jc w:val="left"/>
      <w:outlineLvl w:val="9"/>
    </w:pPr>
    <w:rPr>
      <w:rFonts w:ascii="Cambria" w:hAnsi="Cambria"/>
      <w:bCs/>
      <w:color w:val="365F91"/>
      <w:kern w:val="0"/>
      <w:sz w:val="28"/>
      <w:szCs w:val="28"/>
    </w:rPr>
  </w:style>
  <w:style w:type="paragraph" w:customStyle="1" w:styleId="159">
    <w:name w:val="Char1"/>
    <w:basedOn w:val="1"/>
    <w:qFormat/>
    <w:uiPriority w:val="0"/>
    <w:rPr>
      <w:rFonts w:ascii="仿宋_GB2312" w:eastAsia="仿宋_GB2312"/>
      <w:b/>
      <w:sz w:val="32"/>
      <w:szCs w:val="32"/>
    </w:rPr>
  </w:style>
  <w:style w:type="paragraph" w:customStyle="1" w:styleId="160">
    <w:name w:val="msolistparagraph"/>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61">
    <w:name w:val="样式 加点正文 + 段前: 0.5 行 段后: 0.5 行1"/>
    <w:basedOn w:val="1"/>
    <w:qFormat/>
    <w:uiPriority w:val="0"/>
    <w:pPr>
      <w:tabs>
        <w:tab w:val="left" w:pos="1268"/>
      </w:tabs>
      <w:spacing w:beforeLines="50" w:afterLines="50" w:line="300" w:lineRule="auto"/>
      <w:ind w:left="1268" w:hanging="420"/>
    </w:pPr>
    <w:rPr>
      <w:sz w:val="24"/>
    </w:rPr>
  </w:style>
  <w:style w:type="paragraph" w:customStyle="1" w:styleId="162">
    <w:name w:val="列表内容"/>
    <w:basedOn w:val="1"/>
    <w:next w:val="1"/>
    <w:qFormat/>
    <w:uiPriority w:val="0"/>
    <w:pPr>
      <w:widowControl/>
      <w:tabs>
        <w:tab w:val="left" w:pos="360"/>
      </w:tabs>
      <w:jc w:val="left"/>
    </w:pPr>
    <w:rPr>
      <w:kern w:val="0"/>
      <w:sz w:val="18"/>
      <w:szCs w:val="24"/>
    </w:rPr>
  </w:style>
  <w:style w:type="paragraph" w:customStyle="1" w:styleId="163">
    <w:name w:val="Char Char Char1 Char"/>
    <w:basedOn w:val="1"/>
    <w:uiPriority w:val="0"/>
    <w:rPr>
      <w:rFonts w:ascii="Tahoma" w:hAnsi="Tahoma"/>
      <w:sz w:val="24"/>
    </w:rPr>
  </w:style>
  <w:style w:type="paragraph" w:customStyle="1" w:styleId="164">
    <w:name w:val="前言、引言标题"/>
    <w:next w:val="1"/>
    <w:qFormat/>
    <w:uiPriority w:val="0"/>
    <w:pPr>
      <w:shd w:val="clear" w:color="FFFFFF" w:fill="FFFFFF"/>
      <w:tabs>
        <w:tab w:val="left" w:pos="420"/>
      </w:tabs>
      <w:spacing w:before="640" w:after="560"/>
      <w:ind w:left="420" w:hanging="420"/>
      <w:jc w:val="center"/>
      <w:outlineLvl w:val="0"/>
    </w:pPr>
    <w:rPr>
      <w:rFonts w:ascii="黑体" w:hAnsi="Times New Roman" w:eastAsia="黑体" w:cs="Times New Roman"/>
      <w:sz w:val="32"/>
      <w:lang w:val="en-US" w:eastAsia="zh-CN" w:bidi="ar-SA"/>
    </w:rPr>
  </w:style>
  <w:style w:type="paragraph" w:customStyle="1" w:styleId="165">
    <w:name w:val="五级条标题"/>
    <w:basedOn w:val="166"/>
    <w:next w:val="1"/>
    <w:qFormat/>
    <w:uiPriority w:val="0"/>
    <w:pPr>
      <w:tabs>
        <w:tab w:val="left" w:pos="2310"/>
        <w:tab w:val="left" w:pos="2520"/>
        <w:tab w:val="left" w:pos="2940"/>
      </w:tabs>
      <w:ind w:left="2940"/>
      <w:outlineLvl w:val="6"/>
    </w:pPr>
  </w:style>
  <w:style w:type="paragraph" w:customStyle="1" w:styleId="166">
    <w:name w:val="四级条标题"/>
    <w:basedOn w:val="167"/>
    <w:next w:val="1"/>
    <w:qFormat/>
    <w:uiPriority w:val="0"/>
    <w:pPr>
      <w:tabs>
        <w:tab w:val="left" w:pos="2310"/>
        <w:tab w:val="left" w:pos="2520"/>
      </w:tabs>
      <w:ind w:left="2520"/>
      <w:outlineLvl w:val="5"/>
    </w:pPr>
  </w:style>
  <w:style w:type="paragraph" w:customStyle="1" w:styleId="167">
    <w:name w:val="三级条标题"/>
    <w:basedOn w:val="155"/>
    <w:next w:val="1"/>
    <w:link w:val="168"/>
    <w:qFormat/>
    <w:uiPriority w:val="0"/>
    <w:pPr>
      <w:tabs>
        <w:tab w:val="left" w:pos="2310"/>
      </w:tabs>
      <w:ind w:left="2310"/>
      <w:outlineLvl w:val="4"/>
    </w:pPr>
  </w:style>
  <w:style w:type="character" w:customStyle="1" w:styleId="168">
    <w:name w:val="三级条标题 Char"/>
    <w:basedOn w:val="156"/>
    <w:link w:val="167"/>
    <w:qFormat/>
    <w:uiPriority w:val="0"/>
  </w:style>
  <w:style w:type="paragraph" w:customStyle="1" w:styleId="169">
    <w:name w:val="--规划正文"/>
    <w:basedOn w:val="1"/>
    <w:qFormat/>
    <w:uiPriority w:val="0"/>
    <w:pPr>
      <w:spacing w:line="360" w:lineRule="auto"/>
      <w:ind w:firstLine="200" w:firstLineChars="200"/>
    </w:pPr>
  </w:style>
  <w:style w:type="paragraph" w:customStyle="1" w:styleId="170">
    <w:name w:val="Char2"/>
    <w:basedOn w:val="16"/>
    <w:qFormat/>
    <w:uiPriority w:val="0"/>
    <w:rPr>
      <w:rFonts w:ascii="Tahoma" w:hAnsi="Tahoma"/>
      <w:sz w:val="24"/>
      <w:szCs w:val="24"/>
    </w:rPr>
  </w:style>
  <w:style w:type="paragraph" w:customStyle="1" w:styleId="171">
    <w:name w:val="Char Char Char Char Char Char1 Char"/>
    <w:basedOn w:val="16"/>
    <w:uiPriority w:val="0"/>
    <w:rPr>
      <w:rFonts w:ascii="Tahoma" w:hAnsi="Tahoma"/>
      <w:sz w:val="24"/>
      <w:szCs w:val="24"/>
    </w:rPr>
  </w:style>
  <w:style w:type="paragraph" w:customStyle="1" w:styleId="172">
    <w:name w:val="正文缩进1"/>
    <w:basedOn w:val="1"/>
    <w:next w:val="1"/>
    <w:qFormat/>
    <w:uiPriority w:val="0"/>
    <w:pPr>
      <w:widowControl/>
      <w:ind w:firstLine="420"/>
    </w:pPr>
    <w:rPr>
      <w:color w:val="000000"/>
    </w:rPr>
  </w:style>
  <w:style w:type="paragraph" w:customStyle="1" w:styleId="173">
    <w:name w:val="样式 首行缩进:  2 字符"/>
    <w:basedOn w:val="1"/>
    <w:qFormat/>
    <w:uiPriority w:val="0"/>
    <w:pPr>
      <w:spacing w:line="400" w:lineRule="exact"/>
      <w:ind w:firstLine="200" w:firstLineChars="200"/>
    </w:pPr>
    <w:rPr>
      <w:rFonts w:cs="宋体"/>
      <w:sz w:val="24"/>
      <w:szCs w:val="24"/>
    </w:rPr>
  </w:style>
  <w:style w:type="paragraph" w:customStyle="1" w:styleId="174">
    <w:name w:val="Char Char Char Char"/>
    <w:basedOn w:val="1"/>
    <w:uiPriority w:val="0"/>
    <w:pPr>
      <w:widowControl/>
      <w:spacing w:before="100" w:beforeAutospacing="1" w:after="100" w:afterAutospacing="1" w:line="360" w:lineRule="auto"/>
      <w:jc w:val="left"/>
    </w:pPr>
    <w:rPr>
      <w:rFonts w:ascii="Verdana" w:hAnsi="Verdana"/>
      <w:kern w:val="0"/>
      <w:sz w:val="20"/>
      <w:szCs w:val="21"/>
      <w:lang w:eastAsia="en-US"/>
    </w:rPr>
  </w:style>
  <w:style w:type="paragraph" w:customStyle="1" w:styleId="175">
    <w:name w:val="Char Char Char2"/>
    <w:basedOn w:val="1"/>
    <w:qFormat/>
    <w:uiPriority w:val="0"/>
    <w:pPr>
      <w:widowControl/>
      <w:spacing w:after="160" w:line="240" w:lineRule="exact"/>
      <w:jc w:val="left"/>
    </w:pPr>
    <w:rPr>
      <w:rFonts w:ascii="Verdana" w:hAnsi="Verdana" w:cs="Verdana"/>
      <w:kern w:val="0"/>
      <w:szCs w:val="21"/>
      <w:lang w:eastAsia="en-US"/>
    </w:rPr>
  </w:style>
  <w:style w:type="paragraph" w:customStyle="1" w:styleId="176">
    <w:name w:val="xl40"/>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kern w:val="0"/>
      <w:sz w:val="24"/>
      <w:szCs w:val="24"/>
    </w:rPr>
  </w:style>
  <w:style w:type="paragraph" w:customStyle="1" w:styleId="177">
    <w:name w:val="(符号)三标题1.1"/>
    <w:basedOn w:val="1"/>
    <w:qFormat/>
    <w:uiPriority w:val="0"/>
    <w:pPr>
      <w:tabs>
        <w:tab w:val="left" w:pos="962"/>
      </w:tabs>
      <w:spacing w:before="140" w:after="140" w:line="500" w:lineRule="exact"/>
      <w:ind w:left="962" w:hanging="480"/>
      <w:outlineLvl w:val="2"/>
    </w:pPr>
    <w:rPr>
      <w:rFonts w:ascii="楷体_GB2312" w:hAnsi="宋体" w:eastAsia="楷体_GB2312" w:cs="宋体"/>
      <w:b/>
      <w:bCs/>
      <w:sz w:val="28"/>
    </w:rPr>
  </w:style>
  <w:style w:type="paragraph" w:customStyle="1" w:styleId="17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79">
    <w:name w:val="Char Char Char Char Char Char1 Char1"/>
    <w:basedOn w:val="16"/>
    <w:qFormat/>
    <w:uiPriority w:val="0"/>
    <w:rPr>
      <w:rFonts w:ascii="Tahoma" w:hAnsi="Tahoma"/>
      <w:sz w:val="24"/>
      <w:szCs w:val="24"/>
    </w:rPr>
  </w:style>
  <w:style w:type="paragraph" w:customStyle="1" w:styleId="180">
    <w:name w:val="table head"/>
    <w:basedOn w:val="1"/>
    <w:qFormat/>
    <w:uiPriority w:val="0"/>
    <w:pPr>
      <w:keepNext/>
      <w:keepLines/>
      <w:adjustRightInd w:val="0"/>
      <w:spacing w:line="312" w:lineRule="atLeast"/>
      <w:jc w:val="center"/>
      <w:textAlignment w:val="baseline"/>
    </w:pPr>
    <w:rPr>
      <w:b/>
      <w:kern w:val="0"/>
    </w:rPr>
  </w:style>
  <w:style w:type="paragraph" w:customStyle="1" w:styleId="181">
    <w:name w:val="plaintext"/>
    <w:basedOn w:val="1"/>
    <w:qFormat/>
    <w:uiPriority w:val="0"/>
    <w:pPr>
      <w:widowControl/>
      <w:spacing w:before="100" w:beforeAutospacing="1" w:after="100" w:afterAutospacing="1"/>
      <w:jc w:val="left"/>
    </w:pPr>
    <w:rPr>
      <w:rFonts w:ascii="宋体" w:hAnsi="宋体"/>
      <w:kern w:val="0"/>
      <w:sz w:val="24"/>
      <w:szCs w:val="24"/>
    </w:rPr>
  </w:style>
  <w:style w:type="paragraph" w:customStyle="1" w:styleId="182">
    <w:name w:val="列表（符号二级）（绿盟科技）"/>
    <w:basedOn w:val="154"/>
    <w:qFormat/>
    <w:uiPriority w:val="0"/>
  </w:style>
  <w:style w:type="paragraph" w:customStyle="1" w:styleId="183">
    <w:name w:val="■立项"/>
    <w:basedOn w:val="1"/>
    <w:qFormat/>
    <w:uiPriority w:val="0"/>
    <w:pPr>
      <w:spacing w:beforeLines="30" w:afterLines="30"/>
    </w:pPr>
    <w:rPr>
      <w:bCs/>
      <w:szCs w:val="21"/>
    </w:rPr>
  </w:style>
  <w:style w:type="paragraph" w:customStyle="1" w:styleId="184">
    <w:name w:val="Char"/>
    <w:basedOn w:val="1"/>
    <w:uiPriority w:val="0"/>
    <w:pPr>
      <w:widowControl/>
      <w:spacing w:before="100" w:beforeAutospacing="1" w:after="100" w:afterAutospacing="1" w:line="360" w:lineRule="auto"/>
      <w:jc w:val="left"/>
    </w:pPr>
    <w:rPr>
      <w:rFonts w:ascii="Verdana" w:hAnsi="Verdana"/>
      <w:kern w:val="0"/>
      <w:sz w:val="20"/>
      <w:szCs w:val="21"/>
      <w:lang w:eastAsia="en-US"/>
    </w:rPr>
  </w:style>
  <w:style w:type="paragraph" w:customStyle="1" w:styleId="185">
    <w:name w:val="默认段落字体 Para Char Char Char Char Char Char Char Char Char1 Char Char Char Char"/>
    <w:basedOn w:val="1"/>
    <w:qFormat/>
    <w:uiPriority w:val="0"/>
    <w:rPr>
      <w:rFonts w:ascii="Tahoma" w:hAnsi="Tahoma"/>
      <w:sz w:val="24"/>
    </w:rPr>
  </w:style>
  <w:style w:type="paragraph" w:customStyle="1" w:styleId="186">
    <w:name w:val="Char Char Char Char Char Char"/>
    <w:basedOn w:val="1"/>
    <w:qFormat/>
    <w:uiPriority w:val="0"/>
    <w:rPr>
      <w:rFonts w:ascii="Tahoma" w:hAnsi="Tahoma"/>
      <w:sz w:val="24"/>
    </w:rPr>
  </w:style>
  <w:style w:type="paragraph" w:customStyle="1" w:styleId="187">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188">
    <w:name w:val="Char2 Char Char Char"/>
    <w:basedOn w:val="1"/>
    <w:uiPriority w:val="0"/>
    <w:rPr>
      <w:rFonts w:ascii="仿宋_GB2312" w:eastAsia="仿宋_GB2312"/>
      <w:b/>
      <w:sz w:val="32"/>
      <w:szCs w:val="32"/>
    </w:rPr>
  </w:style>
  <w:style w:type="paragraph" w:customStyle="1" w:styleId="189">
    <w:name w:val="纯文本1"/>
    <w:basedOn w:val="1"/>
    <w:uiPriority w:val="0"/>
    <w:pPr>
      <w:adjustRightInd w:val="0"/>
      <w:textAlignment w:val="baseline"/>
    </w:pPr>
    <w:rPr>
      <w:rFonts w:ascii="宋体" w:hAnsi="Courier New"/>
    </w:rPr>
  </w:style>
  <w:style w:type="paragraph" w:customStyle="1" w:styleId="190">
    <w:name w:val="正文符号1"/>
    <w:basedOn w:val="191"/>
    <w:link w:val="192"/>
    <w:qFormat/>
    <w:uiPriority w:val="0"/>
    <w:pPr>
      <w:tabs>
        <w:tab w:val="left" w:pos="1080"/>
      </w:tabs>
      <w:ind w:left="840" w:firstLine="0" w:firstLineChars="0"/>
    </w:pPr>
  </w:style>
  <w:style w:type="paragraph" w:customStyle="1" w:styleId="191">
    <w:name w:val="正文首行缩进2字"/>
    <w:basedOn w:val="1"/>
    <w:qFormat/>
    <w:uiPriority w:val="0"/>
    <w:pPr>
      <w:spacing w:before="100" w:beforeAutospacing="1" w:after="100" w:afterAutospacing="1"/>
      <w:ind w:firstLine="560" w:firstLineChars="200"/>
    </w:pPr>
    <w:rPr>
      <w:rFonts w:eastAsia="楷体_GB2312"/>
      <w:kern w:val="0"/>
      <w:sz w:val="28"/>
      <w:szCs w:val="24"/>
    </w:rPr>
  </w:style>
  <w:style w:type="character" w:customStyle="1" w:styleId="192">
    <w:name w:val="正文符号1 Char"/>
    <w:link w:val="190"/>
    <w:qFormat/>
    <w:locked/>
    <w:uiPriority w:val="0"/>
    <w:rPr>
      <w:rFonts w:ascii="Times New Roman" w:hAnsi="Times New Roman" w:eastAsia="楷体_GB2312" w:cs="Times New Roman"/>
      <w:kern w:val="0"/>
      <w:sz w:val="28"/>
      <w:szCs w:val="24"/>
    </w:rPr>
  </w:style>
  <w:style w:type="paragraph" w:customStyle="1" w:styleId="193">
    <w:name w:val="A Title 1.1.1.1"/>
    <w:basedOn w:val="6"/>
    <w:next w:val="1"/>
    <w:qFormat/>
    <w:uiPriority w:val="0"/>
    <w:pPr>
      <w:tabs>
        <w:tab w:val="left" w:pos="709"/>
      </w:tabs>
      <w:spacing w:before="240" w:after="240" w:line="240" w:lineRule="atLeast"/>
      <w:ind w:left="709" w:hanging="709"/>
    </w:pPr>
    <w:rPr>
      <w:rFonts w:ascii="Times New Roman" w:hAnsi="Times New Roman" w:eastAsia="宋体"/>
      <w:sz w:val="24"/>
      <w:szCs w:val="24"/>
    </w:rPr>
  </w:style>
  <w:style w:type="paragraph" w:customStyle="1" w:styleId="194">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195">
    <w:name w:val="表格"/>
    <w:basedOn w:val="1"/>
    <w:qFormat/>
    <w:uiPriority w:val="0"/>
    <w:pPr>
      <w:spacing w:line="400" w:lineRule="exact"/>
    </w:pPr>
    <w:rPr>
      <w:sz w:val="24"/>
      <w:szCs w:val="24"/>
    </w:rPr>
  </w:style>
  <w:style w:type="paragraph" w:customStyle="1" w:styleId="196">
    <w:name w:val="Char11"/>
    <w:basedOn w:val="1"/>
    <w:qFormat/>
    <w:uiPriority w:val="0"/>
    <w:rPr>
      <w:szCs w:val="21"/>
    </w:rPr>
  </w:style>
  <w:style w:type="paragraph" w:customStyle="1" w:styleId="197">
    <w:name w:val="Char3"/>
    <w:basedOn w:val="1"/>
    <w:qFormat/>
    <w:uiPriority w:val="0"/>
    <w:pPr>
      <w:widowControl/>
      <w:spacing w:after="160" w:line="240" w:lineRule="exact"/>
      <w:jc w:val="left"/>
    </w:pPr>
    <w:rPr>
      <w:rFonts w:ascii="Verdana" w:hAnsi="Verdana"/>
      <w:kern w:val="0"/>
      <w:sz w:val="20"/>
      <w:lang w:eastAsia="en-US"/>
    </w:rPr>
  </w:style>
  <w:style w:type="character" w:customStyle="1" w:styleId="198">
    <w:name w:val="Heading 2 Hidden Char"/>
    <w:qFormat/>
    <w:uiPriority w:val="0"/>
    <w:rPr>
      <w:rFonts w:ascii="Arial" w:hAnsi="Arial" w:eastAsia="黑体"/>
      <w:b/>
      <w:kern w:val="2"/>
      <w:sz w:val="28"/>
      <w:lang w:val="en-US" w:eastAsia="zh-CN" w:bidi="ar-SA"/>
    </w:rPr>
  </w:style>
  <w:style w:type="character" w:customStyle="1" w:styleId="199">
    <w:name w:val="小标题 Char"/>
    <w:qFormat/>
    <w:uiPriority w:val="0"/>
    <w:rPr>
      <w:rFonts w:eastAsia="宋体"/>
      <w:b/>
      <w:kern w:val="2"/>
      <w:sz w:val="32"/>
      <w:lang w:val="en-US" w:eastAsia="zh-CN" w:bidi="ar-SA"/>
    </w:rPr>
  </w:style>
  <w:style w:type="character" w:customStyle="1" w:styleId="200">
    <w:name w:val="H1 Char"/>
    <w:qFormat/>
    <w:uiPriority w:val="0"/>
    <w:rPr>
      <w:rFonts w:eastAsia="宋体"/>
      <w:b/>
      <w:kern w:val="44"/>
      <w:sz w:val="32"/>
      <w:lang w:val="en-US" w:eastAsia="zh-CN" w:bidi="ar-SA"/>
    </w:rPr>
  </w:style>
  <w:style w:type="character" w:customStyle="1" w:styleId="201">
    <w:name w:val="fo Char"/>
    <w:uiPriority w:val="0"/>
    <w:rPr>
      <w:rFonts w:eastAsia="宋体"/>
      <w:kern w:val="2"/>
      <w:sz w:val="18"/>
      <w:lang w:val="en-US" w:eastAsia="zh-CN" w:bidi="ar-SA"/>
    </w:rPr>
  </w:style>
  <w:style w:type="character" w:customStyle="1" w:styleId="202">
    <w:name w:val="h Char1"/>
    <w:uiPriority w:val="0"/>
    <w:rPr>
      <w:rFonts w:eastAsia="宋体"/>
      <w:kern w:val="2"/>
      <w:sz w:val="18"/>
      <w:lang w:val="en-US" w:eastAsia="zh-CN" w:bidi="ar-SA"/>
    </w:rPr>
  </w:style>
  <w:style w:type="character" w:customStyle="1" w:styleId="203">
    <w:name w:val="正文文字首行缩进 Char"/>
    <w:uiPriority w:val="99"/>
    <w:rPr>
      <w:rFonts w:eastAsia="宋体"/>
      <w:kern w:val="2"/>
      <w:sz w:val="32"/>
      <w:lang w:val="en-US" w:eastAsia="zh-CN" w:bidi="ar-SA"/>
    </w:rPr>
  </w:style>
  <w:style w:type="character" w:customStyle="1" w:styleId="204">
    <w:name w:val="H4 Char"/>
    <w:uiPriority w:val="0"/>
    <w:rPr>
      <w:rFonts w:ascii="Arial" w:hAnsi="Arial" w:eastAsia="黑体"/>
      <w:b/>
      <w:bCs/>
      <w:kern w:val="2"/>
      <w:sz w:val="28"/>
      <w:szCs w:val="28"/>
      <w:lang w:val="en-US" w:eastAsia="zh-CN" w:bidi="ar-SA"/>
    </w:rPr>
  </w:style>
  <w:style w:type="character" w:customStyle="1" w:styleId="205">
    <w:name w:val="H5 Char"/>
    <w:uiPriority w:val="0"/>
    <w:rPr>
      <w:rFonts w:eastAsia="宋体"/>
      <w:b/>
      <w:kern w:val="2"/>
      <w:sz w:val="28"/>
      <w:szCs w:val="24"/>
      <w:lang w:val="en-US" w:eastAsia="zh-CN" w:bidi="ar-SA"/>
    </w:rPr>
  </w:style>
  <w:style w:type="character" w:customStyle="1" w:styleId="206">
    <w:name w:val="H6 Char"/>
    <w:qFormat/>
    <w:uiPriority w:val="0"/>
    <w:rPr>
      <w:rFonts w:ascii="Arial" w:hAnsi="Arial" w:eastAsia="黑体"/>
      <w:b/>
      <w:kern w:val="2"/>
      <w:sz w:val="24"/>
      <w:szCs w:val="24"/>
      <w:lang w:val="en-US" w:eastAsia="zh-CN" w:bidi="ar-SA"/>
    </w:rPr>
  </w:style>
  <w:style w:type="paragraph" w:customStyle="1" w:styleId="207">
    <w:name w:val="Char1 Char Char Char Char Char Char"/>
    <w:basedOn w:val="1"/>
    <w:qFormat/>
    <w:uiPriority w:val="0"/>
    <w:rPr>
      <w:rFonts w:ascii="Tahoma" w:hAnsi="Tahoma"/>
      <w:sz w:val="24"/>
    </w:rPr>
  </w:style>
  <w:style w:type="character" w:customStyle="1" w:styleId="208">
    <w:name w:val="Char Char16"/>
    <w:uiPriority w:val="0"/>
    <w:rPr>
      <w:rFonts w:eastAsia="黑体"/>
      <w:kern w:val="2"/>
      <w:sz w:val="36"/>
      <w:lang w:val="en-US" w:eastAsia="zh-CN" w:bidi="ar-SA"/>
    </w:rPr>
  </w:style>
  <w:style w:type="paragraph" w:customStyle="1" w:styleId="209">
    <w:name w:val="正文文本 211"/>
    <w:basedOn w:val="1"/>
    <w:qFormat/>
    <w:uiPriority w:val="0"/>
    <w:pPr>
      <w:adjustRightInd w:val="0"/>
      <w:spacing w:line="300" w:lineRule="auto"/>
      <w:jc w:val="center"/>
      <w:textAlignment w:val="baseline"/>
    </w:pPr>
    <w:rPr>
      <w:rFonts w:ascii="宋体" w:hAnsi="宋体"/>
      <w:sz w:val="24"/>
    </w:rPr>
  </w:style>
  <w:style w:type="character" w:customStyle="1" w:styleId="210">
    <w:name w:val="普通文字1 Char2"/>
    <w:qFormat/>
    <w:uiPriority w:val="0"/>
    <w:rPr>
      <w:rFonts w:ascii="宋体" w:hAnsi="Courier New" w:eastAsia="宋体" w:cs="Courier New"/>
      <w:kern w:val="2"/>
      <w:sz w:val="21"/>
      <w:szCs w:val="21"/>
      <w:lang w:val="en-US" w:eastAsia="zh-CN" w:bidi="ar-SA"/>
    </w:rPr>
  </w:style>
  <w:style w:type="character" w:customStyle="1" w:styleId="211">
    <w:name w:val="Char Char"/>
    <w:qFormat/>
    <w:uiPriority w:val="0"/>
    <w:rPr>
      <w:rFonts w:eastAsia="宋体"/>
      <w:b/>
      <w:kern w:val="2"/>
      <w:sz w:val="32"/>
      <w:lang w:val="en-US" w:eastAsia="zh-CN" w:bidi="ar-SA"/>
    </w:rPr>
  </w:style>
  <w:style w:type="character" w:customStyle="1" w:styleId="212">
    <w:name w:val="正文首行缩进两字符 Char"/>
    <w:uiPriority w:val="0"/>
    <w:rPr>
      <w:rFonts w:eastAsia="宋体"/>
      <w:kern w:val="2"/>
      <w:sz w:val="21"/>
      <w:szCs w:val="24"/>
      <w:lang w:val="en-US" w:eastAsia="zh-CN" w:bidi="ar-SA"/>
    </w:rPr>
  </w:style>
  <w:style w:type="paragraph" w:customStyle="1" w:styleId="213">
    <w:name w:val="纯文本11"/>
    <w:basedOn w:val="1"/>
    <w:qFormat/>
    <w:uiPriority w:val="0"/>
    <w:pPr>
      <w:adjustRightInd w:val="0"/>
      <w:textAlignment w:val="baseline"/>
    </w:pPr>
    <w:rPr>
      <w:rFonts w:ascii="宋体" w:hAnsi="Courier New"/>
    </w:rPr>
  </w:style>
  <w:style w:type="paragraph" w:customStyle="1" w:styleId="214">
    <w:name w:val="正文1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215">
    <w:name w:val="Char Char Char Char Char Char1"/>
    <w:basedOn w:val="1"/>
    <w:qFormat/>
    <w:uiPriority w:val="0"/>
    <w:rPr>
      <w:rFonts w:ascii="Tahoma" w:hAnsi="Tahoma"/>
      <w:sz w:val="24"/>
    </w:rPr>
  </w:style>
  <w:style w:type="paragraph" w:customStyle="1" w:styleId="216">
    <w:name w:val="Char Char Char Char1"/>
    <w:basedOn w:val="1"/>
    <w:qFormat/>
    <w:uiPriority w:val="0"/>
    <w:pPr>
      <w:widowControl/>
      <w:spacing w:before="100" w:beforeAutospacing="1" w:after="100" w:afterAutospacing="1" w:line="360" w:lineRule="auto"/>
      <w:jc w:val="left"/>
    </w:pPr>
    <w:rPr>
      <w:rFonts w:ascii="Verdana" w:hAnsi="Verdana"/>
      <w:kern w:val="0"/>
      <w:sz w:val="20"/>
      <w:szCs w:val="21"/>
      <w:lang w:eastAsia="en-US"/>
    </w:rPr>
  </w:style>
  <w:style w:type="paragraph" w:customStyle="1" w:styleId="217">
    <w:name w:val="Char2 Char Char Char1"/>
    <w:basedOn w:val="1"/>
    <w:qFormat/>
    <w:uiPriority w:val="0"/>
    <w:rPr>
      <w:rFonts w:ascii="仿宋_GB2312" w:eastAsia="仿宋_GB2312"/>
      <w:b/>
      <w:sz w:val="32"/>
      <w:szCs w:val="32"/>
    </w:rPr>
  </w:style>
  <w:style w:type="paragraph" w:customStyle="1" w:styleId="218">
    <w:name w:val="Char Char1 Char Char Char Char Char Char Char Char Char Char Char Char Char Char1"/>
    <w:basedOn w:val="1"/>
    <w:qFormat/>
    <w:uiPriority w:val="0"/>
    <w:pPr>
      <w:widowControl/>
      <w:tabs>
        <w:tab w:val="left" w:pos="840"/>
      </w:tabs>
      <w:spacing w:after="160" w:line="240" w:lineRule="exact"/>
      <w:jc w:val="left"/>
    </w:pPr>
    <w:rPr>
      <w:rFonts w:ascii="Verdana" w:hAnsi="Verdana"/>
      <w:kern w:val="0"/>
      <w:sz w:val="20"/>
      <w:lang w:eastAsia="en-US"/>
    </w:rPr>
  </w:style>
  <w:style w:type="character" w:customStyle="1" w:styleId="219">
    <w:name w:val="列出段落 Char"/>
    <w:qFormat/>
    <w:uiPriority w:val="0"/>
    <w:rPr>
      <w:rFonts w:ascii="Calibri" w:hAnsi="Calibri" w:eastAsia="宋体"/>
      <w:kern w:val="2"/>
      <w:sz w:val="21"/>
      <w:szCs w:val="22"/>
      <w:lang w:val="en-US" w:eastAsia="zh-CN" w:bidi="ar-SA"/>
    </w:rPr>
  </w:style>
  <w:style w:type="character" w:customStyle="1" w:styleId="220">
    <w:name w:val="k正文 Char"/>
    <w:uiPriority w:val="0"/>
    <w:rPr>
      <w:rFonts w:eastAsia="宋体"/>
      <w:sz w:val="24"/>
      <w:lang w:val="en-US" w:eastAsia="zh-CN" w:bidi="ar-SA"/>
    </w:rPr>
  </w:style>
  <w:style w:type="character" w:customStyle="1" w:styleId="221">
    <w:name w:val="GW-正文 Char"/>
    <w:qFormat/>
    <w:uiPriority w:val="0"/>
    <w:rPr>
      <w:rFonts w:eastAsia="仿宋_GB2312"/>
      <w:kern w:val="2"/>
      <w:sz w:val="24"/>
      <w:szCs w:val="24"/>
      <w:lang w:val="en-US" w:eastAsia="zh-CN" w:bidi="ar-SA"/>
    </w:rPr>
  </w:style>
  <w:style w:type="character" w:customStyle="1" w:styleId="222">
    <w:name w:val="Char Char7"/>
    <w:uiPriority w:val="0"/>
    <w:rPr>
      <w:rFonts w:ascii="Cambria" w:hAnsi="Cambria" w:eastAsia="宋体"/>
      <w:b/>
      <w:bCs/>
      <w:kern w:val="2"/>
      <w:sz w:val="32"/>
      <w:szCs w:val="32"/>
      <w:lang w:val="en-US" w:eastAsia="zh-CN" w:bidi="ar-SA"/>
    </w:rPr>
  </w:style>
  <w:style w:type="paragraph" w:customStyle="1" w:styleId="223">
    <w:name w:val="列出段落11"/>
    <w:basedOn w:val="1"/>
    <w:link w:val="224"/>
    <w:qFormat/>
    <w:uiPriority w:val="0"/>
    <w:pPr>
      <w:ind w:firstLine="420" w:firstLineChars="200"/>
    </w:pPr>
    <w:rPr>
      <w:rFonts w:ascii="Calibri" w:hAnsi="Calibri"/>
      <w:szCs w:val="22"/>
    </w:rPr>
  </w:style>
  <w:style w:type="character" w:customStyle="1" w:styleId="224">
    <w:name w:val="List Paragraph Char"/>
    <w:link w:val="223"/>
    <w:qFormat/>
    <w:locked/>
    <w:uiPriority w:val="0"/>
    <w:rPr>
      <w:rFonts w:ascii="Calibri" w:hAnsi="Calibri" w:eastAsia="宋体" w:cs="Times New Roman"/>
    </w:rPr>
  </w:style>
  <w:style w:type="paragraph" w:customStyle="1" w:styleId="225">
    <w:name w:val="Char Char Char1 Char1"/>
    <w:basedOn w:val="1"/>
    <w:qFormat/>
    <w:uiPriority w:val="0"/>
    <w:rPr>
      <w:rFonts w:ascii="Tahoma" w:hAnsi="Tahoma"/>
      <w:sz w:val="24"/>
    </w:rPr>
  </w:style>
  <w:style w:type="character" w:customStyle="1" w:styleId="226">
    <w:name w:val="Char Char101"/>
    <w:qFormat/>
    <w:uiPriority w:val="0"/>
    <w:rPr>
      <w:rFonts w:eastAsia="宋体"/>
      <w:b/>
      <w:kern w:val="44"/>
      <w:sz w:val="32"/>
      <w:lang w:val="en-US" w:eastAsia="zh-CN" w:bidi="ar-SA"/>
    </w:rPr>
  </w:style>
  <w:style w:type="character" w:customStyle="1" w:styleId="227">
    <w:name w:val="样式 首行缩进:  2 字符1 Char"/>
    <w:qFormat/>
    <w:uiPriority w:val="0"/>
    <w:rPr>
      <w:rFonts w:eastAsia="宋体"/>
      <w:kern w:val="2"/>
      <w:sz w:val="24"/>
      <w:lang w:val="en-US" w:eastAsia="zh-CN" w:bidi="ar-SA"/>
    </w:rPr>
  </w:style>
  <w:style w:type="character" w:customStyle="1" w:styleId="228">
    <w:name w:val="Char Char4"/>
    <w:uiPriority w:val="0"/>
    <w:rPr>
      <w:rFonts w:ascii="Cambria" w:hAnsi="Cambria" w:eastAsia="宋体"/>
      <w:b/>
      <w:bCs/>
      <w:kern w:val="28"/>
      <w:sz w:val="32"/>
      <w:szCs w:val="32"/>
      <w:lang w:val="en-US" w:eastAsia="zh-CN" w:bidi="ar-SA"/>
    </w:rPr>
  </w:style>
  <w:style w:type="character" w:customStyle="1" w:styleId="229">
    <w:name w:val="样式1 Char"/>
    <w:qFormat/>
    <w:uiPriority w:val="0"/>
    <w:rPr>
      <w:rFonts w:ascii="宋体" w:hAnsi="宋体" w:eastAsia="宋体"/>
      <w:b/>
      <w:kern w:val="2"/>
      <w:sz w:val="36"/>
      <w:lang w:val="en-US" w:eastAsia="zh-CN" w:bidi="ar-SA"/>
    </w:rPr>
  </w:style>
  <w:style w:type="character" w:customStyle="1" w:styleId="230">
    <w:name w:val="样式2 Char"/>
    <w:uiPriority w:val="0"/>
    <w:rPr>
      <w:rFonts w:ascii="宋体" w:hAnsi="宋体" w:eastAsia="宋体"/>
      <w:b/>
      <w:kern w:val="2"/>
      <w:sz w:val="28"/>
      <w:lang w:val="en-US" w:eastAsia="zh-CN" w:bidi="ar-SA"/>
    </w:rPr>
  </w:style>
  <w:style w:type="character" w:customStyle="1" w:styleId="231">
    <w:name w:val="样式0 Char"/>
    <w:uiPriority w:val="0"/>
    <w:rPr>
      <w:rFonts w:ascii="Arial" w:hAnsi="Arial" w:eastAsia="黑体" w:cs="Arial"/>
      <w:kern w:val="2"/>
      <w:sz w:val="44"/>
      <w:szCs w:val="32"/>
      <w:lang w:val="en-US" w:eastAsia="zh-CN" w:bidi="ar-SA"/>
    </w:rPr>
  </w:style>
  <w:style w:type="character" w:customStyle="1" w:styleId="232">
    <w:name w:val="标题 4_1 Char"/>
    <w:uiPriority w:val="0"/>
    <w:rPr>
      <w:rFonts w:ascii="Cambria" w:hAnsi="Cambria" w:eastAsia="宋体"/>
      <w:b/>
      <w:bCs/>
      <w:kern w:val="2"/>
      <w:sz w:val="28"/>
      <w:szCs w:val="28"/>
      <w:lang w:val="en-US" w:eastAsia="zh-CN" w:bidi="ar-SA"/>
    </w:rPr>
  </w:style>
  <w:style w:type="character" w:customStyle="1" w:styleId="233">
    <w:name w:val="Item List Char"/>
    <w:qFormat/>
    <w:uiPriority w:val="0"/>
    <w:rPr>
      <w:rFonts w:eastAsia="宋体"/>
      <w:kern w:val="2"/>
      <w:sz w:val="21"/>
      <w:szCs w:val="24"/>
      <w:lang w:val="en-US" w:eastAsia="zh-CN" w:bidi="ar-SA"/>
    </w:rPr>
  </w:style>
  <w:style w:type="paragraph" w:customStyle="1" w:styleId="234">
    <w:name w:val="Char21"/>
    <w:basedOn w:val="16"/>
    <w:qFormat/>
    <w:uiPriority w:val="0"/>
    <w:rPr>
      <w:rFonts w:ascii="Tahoma" w:hAnsi="Tahoma"/>
      <w:sz w:val="24"/>
      <w:szCs w:val="24"/>
    </w:rPr>
  </w:style>
  <w:style w:type="character" w:customStyle="1" w:styleId="235">
    <w:name w:val="Char Char61"/>
    <w:uiPriority w:val="0"/>
    <w:rPr>
      <w:rFonts w:ascii="Times New Roman" w:hAnsi="Times New Roman" w:eastAsia="宋体" w:cs="Times New Roman"/>
      <w:sz w:val="18"/>
      <w:szCs w:val="18"/>
    </w:rPr>
  </w:style>
  <w:style w:type="character" w:customStyle="1" w:styleId="236">
    <w:name w:val="Char Char51"/>
    <w:uiPriority w:val="0"/>
    <w:rPr>
      <w:rFonts w:ascii="宋体" w:hAnsi="Courier New" w:eastAsia="宋体" w:cs="Times New Roman"/>
      <w:szCs w:val="20"/>
    </w:rPr>
  </w:style>
  <w:style w:type="character" w:customStyle="1" w:styleId="237">
    <w:name w:val="A6"/>
    <w:qFormat/>
    <w:uiPriority w:val="0"/>
    <w:rPr>
      <w:color w:val="000000"/>
      <w:sz w:val="18"/>
    </w:rPr>
  </w:style>
  <w:style w:type="paragraph" w:customStyle="1" w:styleId="238">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239">
    <w:name w:val="标准称谓"/>
    <w:next w:val="1"/>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52"/>
      <w:lang w:val="en-US" w:eastAsia="zh-CN" w:bidi="ar-SA"/>
    </w:rPr>
  </w:style>
  <w:style w:type="paragraph" w:customStyle="1" w:styleId="240">
    <w:name w:val="标准书脚_偶数页"/>
    <w:qFormat/>
    <w:uiPriority w:val="0"/>
    <w:pPr>
      <w:spacing w:before="120"/>
    </w:pPr>
    <w:rPr>
      <w:rFonts w:ascii="Times New Roman" w:hAnsi="Times New Roman" w:eastAsia="宋体" w:cs="Times New Roman"/>
      <w:sz w:val="18"/>
      <w:lang w:val="en-US" w:eastAsia="zh-CN" w:bidi="ar-SA"/>
    </w:rPr>
  </w:style>
  <w:style w:type="paragraph" w:customStyle="1" w:styleId="241">
    <w:name w:val="标准书脚_奇数页"/>
    <w:qFormat/>
    <w:uiPriority w:val="0"/>
    <w:pPr>
      <w:spacing w:before="120"/>
      <w:jc w:val="right"/>
    </w:pPr>
    <w:rPr>
      <w:rFonts w:ascii="Times New Roman" w:hAnsi="Times New Roman" w:eastAsia="宋体" w:cs="Times New Roman"/>
      <w:sz w:val="18"/>
      <w:lang w:val="en-US" w:eastAsia="zh-CN" w:bidi="ar-SA"/>
    </w:rPr>
  </w:style>
  <w:style w:type="paragraph" w:customStyle="1" w:styleId="242">
    <w:name w:val="标准书眉_奇数页"/>
    <w:next w:val="1"/>
    <w:qFormat/>
    <w:uiPriority w:val="0"/>
    <w:pPr>
      <w:tabs>
        <w:tab w:val="left" w:pos="1140"/>
        <w:tab w:val="center" w:pos="4154"/>
        <w:tab w:val="right" w:pos="8306"/>
      </w:tabs>
      <w:spacing w:after="120"/>
      <w:ind w:left="840" w:hanging="420"/>
      <w:jc w:val="right"/>
    </w:pPr>
    <w:rPr>
      <w:rFonts w:ascii="Times New Roman" w:hAnsi="Times New Roman" w:eastAsia="宋体" w:cs="Times New Roman"/>
      <w:sz w:val="21"/>
      <w:lang w:val="en-US" w:eastAsia="zh-CN" w:bidi="ar-SA"/>
    </w:rPr>
  </w:style>
  <w:style w:type="paragraph" w:customStyle="1" w:styleId="243">
    <w:name w:val="标准书眉_偶数页"/>
    <w:basedOn w:val="242"/>
    <w:next w:val="1"/>
    <w:qFormat/>
    <w:uiPriority w:val="0"/>
    <w:pPr>
      <w:jc w:val="left"/>
    </w:pPr>
  </w:style>
  <w:style w:type="paragraph" w:customStyle="1" w:styleId="244">
    <w:name w:val="标准书眉一"/>
    <w:qFormat/>
    <w:uiPriority w:val="0"/>
    <w:pPr>
      <w:jc w:val="both"/>
    </w:pPr>
    <w:rPr>
      <w:rFonts w:ascii="Times New Roman" w:hAnsi="Times New Roman" w:eastAsia="宋体" w:cs="Times New Roman"/>
      <w:lang w:val="en-US" w:eastAsia="zh-CN" w:bidi="ar-SA"/>
    </w:rPr>
  </w:style>
  <w:style w:type="paragraph" w:customStyle="1" w:styleId="245">
    <w:name w:val="参考文献、索引标题"/>
    <w:basedOn w:val="164"/>
    <w:next w:val="1"/>
    <w:qFormat/>
    <w:uiPriority w:val="0"/>
    <w:pPr>
      <w:numPr>
        <w:ilvl w:val="1"/>
        <w:numId w:val="1"/>
      </w:numPr>
      <w:tabs>
        <w:tab w:val="clear" w:pos="840"/>
      </w:tabs>
      <w:spacing w:after="200"/>
      <w:ind w:left="420"/>
    </w:pPr>
    <w:rPr>
      <w:sz w:val="21"/>
    </w:rPr>
  </w:style>
  <w:style w:type="paragraph" w:customStyle="1" w:styleId="246">
    <w:name w:val="段"/>
    <w:link w:val="247"/>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247">
    <w:name w:val="段 Char"/>
    <w:link w:val="246"/>
    <w:qFormat/>
    <w:uiPriority w:val="0"/>
    <w:rPr>
      <w:rFonts w:ascii="宋体" w:hAnsi="Times New Roman" w:eastAsia="宋体" w:cs="Times New Roman"/>
      <w:kern w:val="0"/>
      <w:szCs w:val="20"/>
    </w:rPr>
  </w:style>
  <w:style w:type="paragraph" w:customStyle="1" w:styleId="248">
    <w:name w:val="二级无标题条"/>
    <w:basedOn w:val="1"/>
    <w:qFormat/>
    <w:uiPriority w:val="0"/>
    <w:rPr>
      <w:szCs w:val="24"/>
    </w:rPr>
  </w:style>
  <w:style w:type="character" w:customStyle="1" w:styleId="249">
    <w:name w:val="发布"/>
    <w:qFormat/>
    <w:uiPriority w:val="0"/>
    <w:rPr>
      <w:rFonts w:ascii="黑体" w:eastAsia="黑体"/>
      <w:spacing w:val="22"/>
      <w:w w:val="100"/>
      <w:position w:val="3"/>
      <w:sz w:val="28"/>
    </w:rPr>
  </w:style>
  <w:style w:type="paragraph" w:customStyle="1" w:styleId="250">
    <w:name w:val="发布部门"/>
    <w:next w:val="246"/>
    <w:qFormat/>
    <w:uiPriority w:val="0"/>
    <w:pPr>
      <w:framePr w:w="7433" w:h="585" w:hRule="exact" w:hSpace="180" w:vSpace="180" w:wrap="around" w:vAnchor="margin" w:hAnchor="margin" w:xAlign="center" w:y="14401" w:anchorLock="1"/>
      <w:jc w:val="center"/>
    </w:pPr>
    <w:rPr>
      <w:rFonts w:ascii="宋体" w:hAnsi="Times New Roman" w:eastAsia="宋体" w:cs="Times New Roman"/>
      <w:b/>
      <w:spacing w:val="20"/>
      <w:w w:val="135"/>
      <w:sz w:val="36"/>
      <w:lang w:val="en-US" w:eastAsia="zh-CN" w:bidi="ar-SA"/>
    </w:rPr>
  </w:style>
  <w:style w:type="paragraph" w:customStyle="1" w:styleId="251">
    <w:name w:val="发布日期"/>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252">
    <w:name w:val="封面标准号1"/>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253">
    <w:name w:val="封面标准号2"/>
    <w:basedOn w:val="252"/>
    <w:qFormat/>
    <w:uiPriority w:val="0"/>
    <w:pPr>
      <w:framePr w:w="9138" w:h="1244" w:hRule="exact" w:wrap="around" w:vAnchor="page" w:hAnchor="margin" w:y="2908"/>
      <w:adjustRightInd w:val="0"/>
      <w:spacing w:before="357" w:line="280" w:lineRule="exact"/>
    </w:pPr>
  </w:style>
  <w:style w:type="paragraph" w:customStyle="1" w:styleId="254">
    <w:name w:val="封面标准代替信息"/>
    <w:basedOn w:val="253"/>
    <w:qFormat/>
    <w:uiPriority w:val="0"/>
    <w:pPr>
      <w:framePr/>
      <w:numPr>
        <w:ilvl w:val="0"/>
        <w:numId w:val="2"/>
      </w:numPr>
      <w:tabs>
        <w:tab w:val="left" w:pos="1140"/>
      </w:tabs>
      <w:spacing w:before="57"/>
      <w:ind w:left="737" w:hanging="317"/>
    </w:pPr>
    <w:rPr>
      <w:rFonts w:ascii="宋体"/>
      <w:sz w:val="21"/>
    </w:rPr>
  </w:style>
  <w:style w:type="paragraph" w:customStyle="1" w:styleId="255">
    <w:name w:val="封面标准名称"/>
    <w:qFormat/>
    <w:uiPriority w:val="0"/>
    <w:pPr>
      <w:framePr w:w="9638" w:h="6917" w:hRule="exact" w:wrap="around" w:vAnchor="margin" w:hAnchor="margin" w:xAlign="center" w:y="5955"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256">
    <w:name w:val="封面标准文稿编辑信息"/>
    <w:qFormat/>
    <w:uiPriority w:val="0"/>
    <w:pPr>
      <w:numPr>
        <w:ilvl w:val="1"/>
        <w:numId w:val="2"/>
      </w:numPr>
      <w:spacing w:before="180" w:line="180" w:lineRule="exact"/>
      <w:ind w:left="0"/>
      <w:jc w:val="center"/>
    </w:pPr>
    <w:rPr>
      <w:rFonts w:ascii="宋体" w:hAnsi="Times New Roman" w:eastAsia="宋体" w:cs="Times New Roman"/>
      <w:sz w:val="21"/>
      <w:lang w:val="en-US" w:eastAsia="zh-CN" w:bidi="ar-SA"/>
    </w:rPr>
  </w:style>
  <w:style w:type="paragraph" w:customStyle="1" w:styleId="257">
    <w:name w:val="封面标准文稿类别"/>
    <w:qFormat/>
    <w:uiPriority w:val="0"/>
    <w:pPr>
      <w:numPr>
        <w:ilvl w:val="2"/>
        <w:numId w:val="2"/>
      </w:numPr>
      <w:tabs>
        <w:tab w:val="left" w:pos="1260"/>
      </w:tabs>
      <w:spacing w:before="440" w:line="400" w:lineRule="exact"/>
      <w:ind w:left="0" w:hanging="420"/>
      <w:jc w:val="center"/>
    </w:pPr>
    <w:rPr>
      <w:rFonts w:ascii="宋体" w:hAnsi="Times New Roman" w:eastAsia="宋体" w:cs="Times New Roman"/>
      <w:sz w:val="24"/>
      <w:lang w:val="en-US" w:eastAsia="zh-CN" w:bidi="ar-SA"/>
    </w:rPr>
  </w:style>
  <w:style w:type="paragraph" w:customStyle="1" w:styleId="258">
    <w:name w:val="封面标准英文名称"/>
    <w:qFormat/>
    <w:uiPriority w:val="0"/>
    <w:pPr>
      <w:widowControl w:val="0"/>
      <w:numPr>
        <w:ilvl w:val="3"/>
        <w:numId w:val="2"/>
      </w:numPr>
      <w:spacing w:before="370" w:line="400" w:lineRule="exact"/>
      <w:ind w:left="0"/>
      <w:jc w:val="center"/>
    </w:pPr>
    <w:rPr>
      <w:rFonts w:ascii="Times New Roman" w:hAnsi="Times New Roman" w:eastAsia="宋体" w:cs="Times New Roman"/>
      <w:sz w:val="28"/>
      <w:lang w:val="en-US" w:eastAsia="zh-CN" w:bidi="ar-SA"/>
    </w:rPr>
  </w:style>
  <w:style w:type="paragraph" w:customStyle="1" w:styleId="259">
    <w:name w:val="封面一致性程度标识"/>
    <w:qFormat/>
    <w:uiPriority w:val="0"/>
    <w:pPr>
      <w:numPr>
        <w:ilvl w:val="4"/>
        <w:numId w:val="2"/>
      </w:numPr>
      <w:spacing w:before="440" w:line="400" w:lineRule="exact"/>
      <w:jc w:val="center"/>
    </w:pPr>
    <w:rPr>
      <w:rFonts w:ascii="宋体" w:hAnsi="Times New Roman" w:eastAsia="宋体" w:cs="Times New Roman"/>
      <w:sz w:val="28"/>
      <w:lang w:val="en-US" w:eastAsia="zh-CN" w:bidi="ar-SA"/>
    </w:rPr>
  </w:style>
  <w:style w:type="paragraph" w:customStyle="1" w:styleId="260">
    <w:name w:val="封面正文"/>
    <w:qFormat/>
    <w:uiPriority w:val="0"/>
    <w:pPr>
      <w:numPr>
        <w:ilvl w:val="5"/>
        <w:numId w:val="2"/>
      </w:numPr>
      <w:jc w:val="both"/>
    </w:pPr>
    <w:rPr>
      <w:rFonts w:ascii="Times New Roman" w:hAnsi="Times New Roman" w:eastAsia="宋体" w:cs="Times New Roman"/>
      <w:lang w:val="en-US" w:eastAsia="zh-CN" w:bidi="ar-SA"/>
    </w:rPr>
  </w:style>
  <w:style w:type="paragraph" w:customStyle="1" w:styleId="261">
    <w:name w:val="附录标识"/>
    <w:basedOn w:val="164"/>
    <w:qFormat/>
    <w:uiPriority w:val="0"/>
    <w:pPr>
      <w:tabs>
        <w:tab w:val="left" w:pos="6405"/>
        <w:tab w:val="clear" w:pos="420"/>
      </w:tabs>
      <w:spacing w:after="200"/>
      <w:ind w:left="0" w:firstLine="0"/>
    </w:pPr>
    <w:rPr>
      <w:sz w:val="21"/>
    </w:rPr>
  </w:style>
  <w:style w:type="paragraph" w:customStyle="1" w:styleId="262">
    <w:name w:val="附录表标题"/>
    <w:next w:val="246"/>
    <w:qFormat/>
    <w:uiPriority w:val="0"/>
    <w:pPr>
      <w:numPr>
        <w:ilvl w:val="6"/>
        <w:numId w:val="2"/>
      </w:numPr>
      <w:jc w:val="center"/>
      <w:textAlignment w:val="baseline"/>
    </w:pPr>
    <w:rPr>
      <w:rFonts w:ascii="黑体" w:hAnsi="Times New Roman" w:eastAsia="黑体" w:cs="Times New Roman"/>
      <w:kern w:val="21"/>
      <w:sz w:val="21"/>
      <w:lang w:val="en-US" w:eastAsia="zh-CN" w:bidi="ar-SA"/>
    </w:rPr>
  </w:style>
  <w:style w:type="paragraph" w:customStyle="1" w:styleId="263">
    <w:name w:val="附录章标题"/>
    <w:next w:val="246"/>
    <w:qFormat/>
    <w:uiPriority w:val="0"/>
    <w:pPr>
      <w:wordWrap w:val="0"/>
      <w:overflowPunct w:val="0"/>
      <w:autoSpaceDE w:val="0"/>
      <w:spacing w:beforeLines="50" w:afterLines="50"/>
      <w:ind w:left="525"/>
      <w:jc w:val="both"/>
      <w:textAlignment w:val="baseline"/>
      <w:outlineLvl w:val="1"/>
    </w:pPr>
    <w:rPr>
      <w:rFonts w:ascii="黑体" w:hAnsi="Times New Roman" w:eastAsia="黑体" w:cs="Times New Roman"/>
      <w:kern w:val="21"/>
      <w:sz w:val="21"/>
      <w:lang w:val="en-US" w:eastAsia="zh-CN" w:bidi="ar-SA"/>
    </w:rPr>
  </w:style>
  <w:style w:type="paragraph" w:customStyle="1" w:styleId="264">
    <w:name w:val="附录一级条标题"/>
    <w:basedOn w:val="263"/>
    <w:next w:val="246"/>
    <w:qFormat/>
    <w:uiPriority w:val="0"/>
    <w:pPr>
      <w:numPr>
        <w:ilvl w:val="2"/>
        <w:numId w:val="3"/>
      </w:numPr>
      <w:autoSpaceDN w:val="0"/>
      <w:spacing w:beforeLines="0" w:afterLines="0"/>
      <w:outlineLvl w:val="2"/>
    </w:pPr>
  </w:style>
  <w:style w:type="paragraph" w:customStyle="1" w:styleId="265">
    <w:name w:val="附录二级条标题"/>
    <w:basedOn w:val="264"/>
    <w:next w:val="246"/>
    <w:qFormat/>
    <w:uiPriority w:val="0"/>
    <w:pPr>
      <w:numPr>
        <w:ilvl w:val="3"/>
        <w:numId w:val="4"/>
      </w:numPr>
      <w:tabs>
        <w:tab w:val="clear" w:pos="720"/>
      </w:tabs>
      <w:ind w:left="1680" w:hanging="420"/>
      <w:outlineLvl w:val="3"/>
    </w:pPr>
  </w:style>
  <w:style w:type="paragraph" w:customStyle="1" w:styleId="266">
    <w:name w:val="附录三级条标题"/>
    <w:basedOn w:val="265"/>
    <w:next w:val="246"/>
    <w:qFormat/>
    <w:uiPriority w:val="0"/>
    <w:pPr>
      <w:numPr>
        <w:ilvl w:val="0"/>
        <w:numId w:val="0"/>
      </w:numPr>
      <w:tabs>
        <w:tab w:val="left" w:pos="1080"/>
      </w:tabs>
      <w:ind w:left="1080" w:hanging="1080"/>
      <w:outlineLvl w:val="4"/>
    </w:pPr>
  </w:style>
  <w:style w:type="paragraph" w:customStyle="1" w:styleId="267">
    <w:name w:val="附录四级条标题"/>
    <w:basedOn w:val="266"/>
    <w:next w:val="246"/>
    <w:qFormat/>
    <w:uiPriority w:val="0"/>
    <w:pPr>
      <w:numPr>
        <w:numId w:val="1"/>
      </w:numPr>
      <w:tabs>
        <w:tab w:val="left" w:pos="1440"/>
      </w:tabs>
      <w:ind w:left="1440" w:hanging="1440"/>
      <w:outlineLvl w:val="5"/>
    </w:pPr>
  </w:style>
  <w:style w:type="paragraph" w:customStyle="1" w:styleId="268">
    <w:name w:val="附录图标题"/>
    <w:next w:val="246"/>
    <w:qFormat/>
    <w:uiPriority w:val="0"/>
    <w:pPr>
      <w:numPr>
        <w:ilvl w:val="0"/>
        <w:numId w:val="5"/>
      </w:numPr>
      <w:tabs>
        <w:tab w:val="clear" w:pos="1140"/>
      </w:tabs>
      <w:ind w:left="0" w:firstLine="0"/>
      <w:jc w:val="center"/>
    </w:pPr>
    <w:rPr>
      <w:rFonts w:ascii="黑体" w:hAnsi="Times New Roman" w:eastAsia="黑体" w:cs="Times New Roman"/>
      <w:sz w:val="21"/>
      <w:lang w:val="en-US" w:eastAsia="zh-CN" w:bidi="ar-SA"/>
    </w:rPr>
  </w:style>
  <w:style w:type="paragraph" w:customStyle="1" w:styleId="269">
    <w:name w:val="附录五级条标题"/>
    <w:basedOn w:val="267"/>
    <w:next w:val="246"/>
    <w:qFormat/>
    <w:uiPriority w:val="0"/>
    <w:pPr>
      <w:numPr>
        <w:ilvl w:val="4"/>
        <w:numId w:val="6"/>
      </w:numPr>
      <w:tabs>
        <w:tab w:val="clear" w:pos="1080"/>
      </w:tabs>
      <w:ind w:left="0" w:firstLine="0"/>
      <w:outlineLvl w:val="6"/>
    </w:pPr>
  </w:style>
  <w:style w:type="character" w:customStyle="1" w:styleId="270">
    <w:name w:val="个人答复风格"/>
    <w:uiPriority w:val="0"/>
    <w:rPr>
      <w:rFonts w:ascii="Arial" w:hAnsi="Arial" w:eastAsia="宋体" w:cs="Arial"/>
      <w:color w:val="auto"/>
      <w:sz w:val="20"/>
    </w:rPr>
  </w:style>
  <w:style w:type="character" w:customStyle="1" w:styleId="271">
    <w:name w:val="个人撰写风格"/>
    <w:uiPriority w:val="0"/>
    <w:rPr>
      <w:rFonts w:ascii="Arial" w:hAnsi="Arial" w:eastAsia="宋体" w:cs="Arial"/>
      <w:color w:val="auto"/>
      <w:sz w:val="20"/>
    </w:rPr>
  </w:style>
  <w:style w:type="paragraph" w:customStyle="1" w:styleId="272">
    <w:name w:val="列项——"/>
    <w:qFormat/>
    <w:uiPriority w:val="0"/>
    <w:pPr>
      <w:widowControl w:val="0"/>
      <w:numPr>
        <w:ilvl w:val="0"/>
        <w:numId w:val="7"/>
      </w:numPr>
      <w:tabs>
        <w:tab w:val="left" w:pos="360"/>
        <w:tab w:val="left" w:pos="854"/>
      </w:tabs>
      <w:ind w:left="200" w:leftChars="200" w:hanging="200" w:hangingChars="200"/>
      <w:jc w:val="both"/>
    </w:pPr>
    <w:rPr>
      <w:rFonts w:ascii="宋体" w:hAnsi="Times New Roman" w:eastAsia="宋体" w:cs="Times New Roman"/>
      <w:sz w:val="21"/>
      <w:lang w:val="en-US" w:eastAsia="zh-CN" w:bidi="ar-SA"/>
    </w:rPr>
  </w:style>
  <w:style w:type="paragraph" w:customStyle="1" w:styleId="273">
    <w:name w:val="列项·"/>
    <w:qFormat/>
    <w:uiPriority w:val="0"/>
    <w:pPr>
      <w:numPr>
        <w:ilvl w:val="0"/>
        <w:numId w:val="8"/>
      </w:numPr>
      <w:tabs>
        <w:tab w:val="left" w:pos="840"/>
        <w:tab w:val="left" w:pos="962"/>
      </w:tabs>
      <w:ind w:left="200" w:leftChars="200" w:hanging="200" w:hangingChars="200"/>
      <w:jc w:val="both"/>
    </w:pPr>
    <w:rPr>
      <w:rFonts w:ascii="宋体" w:hAnsi="Times New Roman" w:eastAsia="宋体" w:cs="Times New Roman"/>
      <w:sz w:val="21"/>
      <w:lang w:val="en-US" w:eastAsia="zh-CN" w:bidi="ar-SA"/>
    </w:rPr>
  </w:style>
  <w:style w:type="paragraph" w:customStyle="1" w:styleId="274">
    <w:name w:val="目次、标准名称标题"/>
    <w:basedOn w:val="164"/>
    <w:next w:val="246"/>
    <w:qFormat/>
    <w:uiPriority w:val="0"/>
    <w:pPr>
      <w:spacing w:line="460" w:lineRule="exact"/>
      <w:ind w:left="0" w:firstLine="0"/>
    </w:pPr>
  </w:style>
  <w:style w:type="paragraph" w:customStyle="1" w:styleId="275">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276">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277">
    <w:name w:val="其他发布部门"/>
    <w:basedOn w:val="250"/>
    <w:qFormat/>
    <w:uiPriority w:val="0"/>
    <w:pPr>
      <w:framePr/>
      <w:spacing w:line="0" w:lineRule="atLeast"/>
    </w:pPr>
    <w:rPr>
      <w:rFonts w:ascii="黑体" w:eastAsia="黑体"/>
      <w:b w:val="0"/>
    </w:rPr>
  </w:style>
  <w:style w:type="paragraph" w:customStyle="1" w:styleId="278">
    <w:name w:val="三级无标题条"/>
    <w:basedOn w:val="1"/>
    <w:qFormat/>
    <w:uiPriority w:val="0"/>
    <w:rPr>
      <w:szCs w:val="24"/>
    </w:rPr>
  </w:style>
  <w:style w:type="paragraph" w:customStyle="1" w:styleId="279">
    <w:name w:val="实施日期"/>
    <w:basedOn w:val="251"/>
    <w:qFormat/>
    <w:uiPriority w:val="0"/>
    <w:pPr>
      <w:framePr w:hSpace="0" w:xAlign="right"/>
      <w:jc w:val="right"/>
    </w:pPr>
  </w:style>
  <w:style w:type="paragraph" w:customStyle="1" w:styleId="280">
    <w:name w:val="示例"/>
    <w:next w:val="246"/>
    <w:qFormat/>
    <w:uiPriority w:val="0"/>
    <w:pPr>
      <w:numPr>
        <w:ilvl w:val="0"/>
        <w:numId w:val="9"/>
      </w:numPr>
      <w:tabs>
        <w:tab w:val="left" w:pos="816"/>
      </w:tabs>
      <w:ind w:left="720" w:firstLine="419" w:firstLineChars="233"/>
      <w:jc w:val="both"/>
    </w:pPr>
    <w:rPr>
      <w:rFonts w:ascii="宋体" w:hAnsi="Times New Roman" w:eastAsia="宋体" w:cs="Times New Roman"/>
      <w:sz w:val="18"/>
      <w:lang w:val="en-US" w:eastAsia="zh-CN" w:bidi="ar-SA"/>
    </w:rPr>
  </w:style>
  <w:style w:type="paragraph" w:customStyle="1" w:styleId="281">
    <w:name w:val="数字编号列项（二级）"/>
    <w:qFormat/>
    <w:uiPriority w:val="0"/>
    <w:pPr>
      <w:ind w:left="1260" w:leftChars="400" w:hanging="420" w:hangingChars="200"/>
      <w:jc w:val="both"/>
    </w:pPr>
    <w:rPr>
      <w:rFonts w:ascii="宋体" w:hAnsi="Times New Roman" w:eastAsia="宋体" w:cs="Times New Roman"/>
      <w:sz w:val="21"/>
      <w:lang w:val="en-US" w:eastAsia="zh-CN" w:bidi="ar-SA"/>
    </w:rPr>
  </w:style>
  <w:style w:type="paragraph" w:customStyle="1" w:styleId="282">
    <w:name w:val="四级无标题条"/>
    <w:basedOn w:val="1"/>
    <w:qFormat/>
    <w:uiPriority w:val="0"/>
    <w:rPr>
      <w:szCs w:val="24"/>
    </w:rPr>
  </w:style>
  <w:style w:type="paragraph" w:customStyle="1" w:styleId="283">
    <w:name w:val="条文脚注"/>
    <w:basedOn w:val="38"/>
    <w:qFormat/>
    <w:uiPriority w:val="0"/>
    <w:pPr>
      <w:ind w:left="780" w:leftChars="200" w:hanging="200" w:hangingChars="200"/>
      <w:jc w:val="both"/>
    </w:pPr>
    <w:rPr>
      <w:rFonts w:ascii="宋体"/>
    </w:rPr>
  </w:style>
  <w:style w:type="paragraph" w:customStyle="1" w:styleId="284">
    <w:name w:val="图表脚注"/>
    <w:next w:val="246"/>
    <w:qFormat/>
    <w:uiPriority w:val="0"/>
    <w:pPr>
      <w:ind w:left="300" w:leftChars="200" w:hanging="100" w:hangingChars="100"/>
      <w:jc w:val="both"/>
    </w:pPr>
    <w:rPr>
      <w:rFonts w:ascii="宋体" w:hAnsi="Times New Roman" w:eastAsia="宋体" w:cs="Times New Roman"/>
      <w:sz w:val="18"/>
      <w:lang w:val="en-US" w:eastAsia="zh-CN" w:bidi="ar-SA"/>
    </w:rPr>
  </w:style>
  <w:style w:type="paragraph" w:customStyle="1" w:styleId="285">
    <w:name w:val="文献分类号"/>
    <w:qFormat/>
    <w:uiPriority w:val="0"/>
    <w:pPr>
      <w:framePr w:hSpace="180" w:vSpace="180" w:wrap="around" w:vAnchor="margin" w:hAnchor="margin" w:y="1" w:anchorLock="1"/>
      <w:widowControl w:val="0"/>
      <w:numPr>
        <w:ilvl w:val="2"/>
        <w:numId w:val="1"/>
      </w:numPr>
      <w:tabs>
        <w:tab w:val="left" w:pos="720"/>
        <w:tab w:val="clear" w:pos="1260"/>
      </w:tabs>
      <w:ind w:left="720" w:hanging="720"/>
      <w:textAlignment w:val="center"/>
    </w:pPr>
    <w:rPr>
      <w:rFonts w:ascii="Times New Roman" w:hAnsi="Times New Roman" w:eastAsia="黑体" w:cs="Times New Roman"/>
      <w:sz w:val="21"/>
      <w:lang w:val="en-US" w:eastAsia="zh-CN" w:bidi="ar-SA"/>
    </w:rPr>
  </w:style>
  <w:style w:type="paragraph" w:customStyle="1" w:styleId="286">
    <w:name w:val="无标题条"/>
    <w:next w:val="246"/>
    <w:qFormat/>
    <w:uiPriority w:val="0"/>
    <w:pPr>
      <w:jc w:val="both"/>
    </w:pPr>
    <w:rPr>
      <w:rFonts w:ascii="Times New Roman" w:hAnsi="Times New Roman" w:eastAsia="宋体" w:cs="Times New Roman"/>
      <w:sz w:val="21"/>
      <w:lang w:val="en-US" w:eastAsia="zh-CN" w:bidi="ar-SA"/>
    </w:rPr>
  </w:style>
  <w:style w:type="paragraph" w:customStyle="1" w:styleId="287">
    <w:name w:val="五级无标题条"/>
    <w:basedOn w:val="1"/>
    <w:qFormat/>
    <w:uiPriority w:val="0"/>
    <w:pPr>
      <w:numPr>
        <w:ilvl w:val="0"/>
        <w:numId w:val="10"/>
      </w:numPr>
      <w:ind w:left="0"/>
    </w:pPr>
    <w:rPr>
      <w:szCs w:val="24"/>
    </w:rPr>
  </w:style>
  <w:style w:type="paragraph" w:customStyle="1" w:styleId="288">
    <w:name w:val="一级无标题条"/>
    <w:basedOn w:val="1"/>
    <w:qFormat/>
    <w:uiPriority w:val="0"/>
    <w:pPr>
      <w:numPr>
        <w:ilvl w:val="0"/>
        <w:numId w:val="11"/>
      </w:numPr>
      <w:tabs>
        <w:tab w:val="left" w:pos="360"/>
        <w:tab w:val="clear" w:pos="1140"/>
      </w:tabs>
      <w:ind w:left="0" w:firstLine="0"/>
    </w:pPr>
    <w:rPr>
      <w:szCs w:val="24"/>
    </w:rPr>
  </w:style>
  <w:style w:type="paragraph" w:customStyle="1" w:styleId="289">
    <w:name w:val="正文表标题"/>
    <w:next w:val="246"/>
    <w:qFormat/>
    <w:uiPriority w:val="0"/>
    <w:pPr>
      <w:numPr>
        <w:ilvl w:val="0"/>
        <w:numId w:val="12"/>
      </w:numPr>
      <w:jc w:val="center"/>
    </w:pPr>
    <w:rPr>
      <w:rFonts w:ascii="黑体" w:hAnsi="Times New Roman" w:eastAsia="黑体" w:cs="Times New Roman"/>
      <w:sz w:val="21"/>
      <w:lang w:val="en-US" w:eastAsia="zh-CN" w:bidi="ar-SA"/>
    </w:rPr>
  </w:style>
  <w:style w:type="paragraph" w:customStyle="1" w:styleId="290">
    <w:name w:val="正文图标题"/>
    <w:next w:val="246"/>
    <w:qFormat/>
    <w:uiPriority w:val="0"/>
    <w:pPr>
      <w:numPr>
        <w:ilvl w:val="0"/>
        <w:numId w:val="13"/>
      </w:numPr>
      <w:jc w:val="center"/>
    </w:pPr>
    <w:rPr>
      <w:rFonts w:ascii="黑体" w:hAnsi="Times New Roman" w:eastAsia="黑体" w:cs="Times New Roman"/>
      <w:sz w:val="21"/>
      <w:lang w:val="en-US" w:eastAsia="zh-CN" w:bidi="ar-SA"/>
    </w:rPr>
  </w:style>
  <w:style w:type="paragraph" w:customStyle="1" w:styleId="291">
    <w:name w:val="注："/>
    <w:next w:val="246"/>
    <w:qFormat/>
    <w:uiPriority w:val="0"/>
    <w:pPr>
      <w:widowControl w:val="0"/>
      <w:numPr>
        <w:ilvl w:val="0"/>
        <w:numId w:val="14"/>
      </w:numPr>
      <w:autoSpaceDE w:val="0"/>
      <w:autoSpaceDN w:val="0"/>
      <w:jc w:val="both"/>
    </w:pPr>
    <w:rPr>
      <w:rFonts w:ascii="宋体" w:hAnsi="Times New Roman" w:eastAsia="宋体" w:cs="Times New Roman"/>
      <w:sz w:val="18"/>
      <w:lang w:val="en-US" w:eastAsia="zh-CN" w:bidi="ar-SA"/>
    </w:rPr>
  </w:style>
  <w:style w:type="paragraph" w:customStyle="1" w:styleId="292">
    <w:name w:val="注×："/>
    <w:qFormat/>
    <w:uiPriority w:val="0"/>
    <w:pPr>
      <w:widowControl w:val="0"/>
      <w:numPr>
        <w:ilvl w:val="0"/>
        <w:numId w:val="15"/>
      </w:numPr>
      <w:tabs>
        <w:tab w:val="left" w:pos="630"/>
        <w:tab w:val="clear" w:pos="425"/>
      </w:tabs>
      <w:autoSpaceDE w:val="0"/>
      <w:autoSpaceDN w:val="0"/>
      <w:jc w:val="both"/>
    </w:pPr>
    <w:rPr>
      <w:rFonts w:ascii="宋体" w:hAnsi="Times New Roman" w:eastAsia="宋体" w:cs="Times New Roman"/>
      <w:sz w:val="18"/>
      <w:lang w:val="en-US" w:eastAsia="zh-CN" w:bidi="ar-SA"/>
    </w:rPr>
  </w:style>
  <w:style w:type="paragraph" w:customStyle="1" w:styleId="293">
    <w:name w:val="字母编号列项（一级）"/>
    <w:qFormat/>
    <w:uiPriority w:val="0"/>
    <w:pPr>
      <w:ind w:left="840" w:leftChars="200" w:hanging="200" w:hangingChars="200"/>
      <w:jc w:val="both"/>
    </w:pPr>
    <w:rPr>
      <w:rFonts w:ascii="宋体" w:hAnsi="Times New Roman" w:eastAsia="宋体" w:cs="Times New Roman"/>
      <w:sz w:val="21"/>
      <w:lang w:val="en-US" w:eastAsia="zh-CN" w:bidi="ar-SA"/>
    </w:rPr>
  </w:style>
  <w:style w:type="paragraph" w:customStyle="1" w:styleId="294">
    <w:name w:val="c封面标准编号"/>
    <w:basedOn w:val="1"/>
    <w:next w:val="295"/>
    <w:qFormat/>
    <w:uiPriority w:val="0"/>
    <w:pPr>
      <w:adjustRightInd w:val="0"/>
      <w:jc w:val="right"/>
    </w:pPr>
    <w:rPr>
      <w:rFonts w:ascii="宋体"/>
      <w:b/>
      <w:kern w:val="0"/>
      <w:sz w:val="28"/>
    </w:rPr>
  </w:style>
  <w:style w:type="paragraph" w:customStyle="1" w:styleId="295">
    <w:name w:val="c标准代替"/>
    <w:basedOn w:val="1"/>
    <w:next w:val="1"/>
    <w:qFormat/>
    <w:uiPriority w:val="0"/>
    <w:pPr>
      <w:adjustRightInd w:val="0"/>
      <w:jc w:val="right"/>
    </w:pPr>
    <w:rPr>
      <w:rFonts w:ascii="宋体"/>
      <w:kern w:val="0"/>
    </w:rPr>
  </w:style>
  <w:style w:type="paragraph" w:customStyle="1" w:styleId="296">
    <w:name w:val="Body Bullet SQ"/>
    <w:basedOn w:val="1"/>
    <w:qFormat/>
    <w:uiPriority w:val="0"/>
    <w:pPr>
      <w:widowControl/>
      <w:numPr>
        <w:ilvl w:val="0"/>
        <w:numId w:val="16"/>
      </w:numPr>
      <w:tabs>
        <w:tab w:val="left" w:pos="420"/>
        <w:tab w:val="clear" w:pos="360"/>
      </w:tabs>
      <w:ind w:left="420" w:hanging="420"/>
      <w:jc w:val="left"/>
    </w:pPr>
    <w:rPr>
      <w:rFonts w:ascii="Calibri" w:hAnsi="Calibri"/>
      <w:kern w:val="0"/>
      <w:sz w:val="20"/>
      <w:lang w:eastAsia="en-US" w:bidi="en-US"/>
    </w:rPr>
  </w:style>
  <w:style w:type="paragraph" w:customStyle="1" w:styleId="297">
    <w:name w:val="默认段落字体 Para Char"/>
    <w:basedOn w:val="1"/>
    <w:qFormat/>
    <w:uiPriority w:val="0"/>
    <w:pPr>
      <w:adjustRightInd w:val="0"/>
      <w:spacing w:line="360" w:lineRule="auto"/>
    </w:pPr>
    <w:rPr>
      <w:kern w:val="0"/>
      <w:sz w:val="24"/>
    </w:rPr>
  </w:style>
  <w:style w:type="paragraph" w:customStyle="1" w:styleId="298">
    <w:name w:val="Char Char 字元 字元 字元 Char Char Char Char"/>
    <w:basedOn w:val="1"/>
    <w:qFormat/>
    <w:uiPriority w:val="0"/>
    <w:pPr>
      <w:adjustRightInd w:val="0"/>
      <w:spacing w:line="360" w:lineRule="auto"/>
    </w:pPr>
    <w:rPr>
      <w:kern w:val="0"/>
      <w:sz w:val="24"/>
    </w:rPr>
  </w:style>
  <w:style w:type="paragraph" w:customStyle="1" w:styleId="299">
    <w:name w:val="table_lines"/>
    <w:basedOn w:val="1"/>
    <w:qFormat/>
    <w:uiPriority w:val="0"/>
    <w:pPr>
      <w:widowControl/>
      <w:jc w:val="left"/>
    </w:pPr>
    <w:rPr>
      <w:kern w:val="0"/>
      <w:sz w:val="20"/>
      <w:lang w:val="de-DE" w:eastAsia="de-DE"/>
    </w:rPr>
  </w:style>
  <w:style w:type="character" w:customStyle="1" w:styleId="300">
    <w:name w:val="三级条标题[858D7CFB-ED40-4347-BF05-701D383B685F]"/>
    <w:uiPriority w:val="0"/>
    <w:rPr>
      <w:rFonts w:eastAsia="宋体"/>
      <w:kern w:val="2"/>
      <w:sz w:val="21"/>
      <w:lang w:val="en-US" w:eastAsia="zh-CN" w:bidi="ar-SA"/>
    </w:rPr>
  </w:style>
  <w:style w:type="paragraph" w:customStyle="1" w:styleId="301">
    <w:name w:val="二级无"/>
    <w:basedOn w:val="155"/>
    <w:link w:val="302"/>
    <w:qFormat/>
    <w:uiPriority w:val="0"/>
    <w:pPr>
      <w:numPr>
        <w:ilvl w:val="2"/>
        <w:numId w:val="17"/>
      </w:numPr>
      <w:tabs>
        <w:tab w:val="left" w:pos="420"/>
      </w:tabs>
      <w:ind w:left="1470"/>
      <w:jc w:val="left"/>
    </w:pPr>
    <w:rPr>
      <w:rFonts w:ascii="宋体" w:eastAsia="宋体"/>
      <w:b/>
      <w:szCs w:val="21"/>
    </w:rPr>
  </w:style>
  <w:style w:type="character" w:customStyle="1" w:styleId="302">
    <w:name w:val="二级无 Char"/>
    <w:link w:val="301"/>
    <w:uiPriority w:val="0"/>
    <w:rPr>
      <w:rFonts w:ascii="宋体" w:eastAsia="宋体"/>
      <w:b/>
      <w:szCs w:val="21"/>
    </w:rPr>
  </w:style>
  <w:style w:type="character" w:customStyle="1" w:styleId="303">
    <w:name w:val="apple-style-span"/>
    <w:qFormat/>
    <w:uiPriority w:val="0"/>
  </w:style>
  <w:style w:type="paragraph" w:customStyle="1" w:styleId="304">
    <w:name w:val="Char1 Char Char Char"/>
    <w:basedOn w:val="1"/>
    <w:qFormat/>
    <w:uiPriority w:val="0"/>
    <w:rPr>
      <w:szCs w:val="24"/>
    </w:rPr>
  </w:style>
  <w:style w:type="paragraph" w:customStyle="1" w:styleId="305">
    <w:name w:val="P标3"/>
    <w:basedOn w:val="5"/>
    <w:qFormat/>
    <w:uiPriority w:val="0"/>
    <w:pPr>
      <w:keepNext w:val="0"/>
      <w:keepLines w:val="0"/>
      <w:tabs>
        <w:tab w:val="left" w:pos="540"/>
      </w:tabs>
      <w:spacing w:before="0" w:after="120" w:line="480" w:lineRule="exact"/>
      <w:outlineLvl w:val="9"/>
    </w:pPr>
    <w:rPr>
      <w:rFonts w:ascii="宋体" w:hAnsi="宋体"/>
      <w:b w:val="0"/>
      <w:sz w:val="30"/>
      <w:szCs w:val="30"/>
    </w:rPr>
  </w:style>
  <w:style w:type="paragraph" w:customStyle="1" w:styleId="306">
    <w:name w:val="无间隔1"/>
    <w:link w:val="307"/>
    <w:qFormat/>
    <w:uiPriority w:val="0"/>
    <w:pPr>
      <w:widowControl w:val="0"/>
      <w:jc w:val="both"/>
    </w:pPr>
    <w:rPr>
      <w:rFonts w:ascii="Calibri" w:hAnsi="Calibri" w:eastAsia="宋体" w:cs="Times New Roman"/>
      <w:kern w:val="2"/>
      <w:sz w:val="21"/>
      <w:szCs w:val="22"/>
      <w:lang w:val="en-US" w:eastAsia="zh-CN" w:bidi="ar-SA"/>
    </w:rPr>
  </w:style>
  <w:style w:type="character" w:customStyle="1" w:styleId="307">
    <w:name w:val="无间隔 Char"/>
    <w:link w:val="306"/>
    <w:qFormat/>
    <w:uiPriority w:val="0"/>
    <w:rPr>
      <w:rFonts w:ascii="Calibri" w:hAnsi="Calibri" w:eastAsia="宋体" w:cs="Times New Roman"/>
    </w:rPr>
  </w:style>
  <w:style w:type="paragraph" w:customStyle="1" w:styleId="308">
    <w:name w:val="Default"/>
    <w:qFormat/>
    <w:uiPriority w:val="0"/>
    <w:pPr>
      <w:widowControl w:val="0"/>
      <w:autoSpaceDE w:val="0"/>
      <w:autoSpaceDN w:val="0"/>
      <w:adjustRightInd w:val="0"/>
    </w:pPr>
    <w:rPr>
      <w:rFonts w:ascii="Arial" w:hAnsi="Arial" w:eastAsia="宋体" w:cs="Times New Roman"/>
      <w:color w:val="000000"/>
      <w:sz w:val="24"/>
      <w:lang w:val="en-US" w:eastAsia="zh-CN" w:bidi="ar-SA"/>
    </w:rPr>
  </w:style>
  <w:style w:type="paragraph" w:customStyle="1" w:styleId="309">
    <w:name w:val="自由格式"/>
    <w:qFormat/>
    <w:uiPriority w:val="0"/>
    <w:rPr>
      <w:rFonts w:ascii="Helvetica" w:hAnsi="Helvetica" w:eastAsia="ヒラギノ角ゴ Pro W3" w:cs="Times New Roman"/>
      <w:color w:val="000000"/>
      <w:sz w:val="24"/>
      <w:lang w:val="en-US" w:eastAsia="zh-CN" w:bidi="ar-SA"/>
    </w:rPr>
  </w:style>
  <w:style w:type="paragraph" w:customStyle="1" w:styleId="310">
    <w:name w:val="页眉与页脚"/>
    <w:qFormat/>
    <w:uiPriority w:val="0"/>
    <w:pPr>
      <w:tabs>
        <w:tab w:val="right" w:pos="9632"/>
      </w:tabs>
    </w:pPr>
    <w:rPr>
      <w:rFonts w:ascii="Helvetica" w:hAnsi="Helvetica" w:eastAsia="ヒラギノ角ゴ Pro W3" w:cs="Times New Roman"/>
      <w:color w:val="000000"/>
      <w:lang w:val="en-US" w:eastAsia="zh-CN" w:bidi="ar-SA"/>
    </w:rPr>
  </w:style>
  <w:style w:type="paragraph" w:customStyle="1" w:styleId="311">
    <w:name w:val="正常"/>
    <w:qFormat/>
    <w:uiPriority w:val="0"/>
    <w:pPr>
      <w:widowControl w:val="0"/>
      <w:spacing w:after="120"/>
      <w:jc w:val="both"/>
    </w:pPr>
    <w:rPr>
      <w:rFonts w:ascii="Times New Roman" w:hAnsi="Times New Roman" w:eastAsia="ヒラギノ角ゴ Pro W3" w:cs="Times New Roman"/>
      <w:color w:val="000000"/>
      <w:sz w:val="21"/>
      <w:lang w:val="en-US" w:eastAsia="zh-CN" w:bidi="ar-SA"/>
    </w:rPr>
  </w:style>
  <w:style w:type="character" w:customStyle="1" w:styleId="312">
    <w:name w:val="Char Char12"/>
    <w:uiPriority w:val="0"/>
    <w:rPr>
      <w:rFonts w:eastAsia="宋体"/>
      <w:b/>
      <w:bCs/>
      <w:kern w:val="2"/>
      <w:sz w:val="28"/>
      <w:szCs w:val="28"/>
      <w:lang w:val="en-US" w:eastAsia="zh-CN" w:bidi="ar-SA"/>
    </w:rPr>
  </w:style>
  <w:style w:type="paragraph" w:customStyle="1" w:styleId="313">
    <w:name w:val="正文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314">
    <w:name w:val="正文缩进 New New"/>
    <w:basedOn w:val="313"/>
    <w:qFormat/>
    <w:uiPriority w:val="0"/>
    <w:pPr>
      <w:ind w:firstLine="420"/>
    </w:pPr>
  </w:style>
  <w:style w:type="character" w:customStyle="1" w:styleId="315">
    <w:name w:val="question-title2"/>
    <w:basedOn w:val="48"/>
    <w:uiPriority w:val="0"/>
  </w:style>
  <w:style w:type="paragraph" w:customStyle="1" w:styleId="316">
    <w:name w:val="Default Paragraph Font Para Char"/>
    <w:basedOn w:val="1"/>
    <w:qFormat/>
    <w:uiPriority w:val="0"/>
    <w:pPr>
      <w:widowControl/>
      <w:spacing w:after="160" w:line="240" w:lineRule="exact"/>
      <w:jc w:val="left"/>
    </w:pPr>
    <w:rPr>
      <w:rFonts w:ascii="Verdana" w:hAnsi="Verdana"/>
      <w:kern w:val="0"/>
      <w:sz w:val="20"/>
      <w:lang w:eastAsia="en-US"/>
    </w:rPr>
  </w:style>
  <w:style w:type="paragraph" w:customStyle="1" w:styleId="317">
    <w:name w:val="标准正文"/>
    <w:basedOn w:val="21"/>
    <w:qFormat/>
    <w:uiPriority w:val="0"/>
    <w:pPr>
      <w:spacing w:before="60" w:after="60" w:line="360" w:lineRule="auto"/>
      <w:ind w:firstLine="482"/>
    </w:pPr>
    <w:rPr>
      <w:rFonts w:ascii="Arial" w:hAnsi="Arial"/>
      <w:sz w:val="24"/>
    </w:rPr>
  </w:style>
  <w:style w:type="paragraph" w:customStyle="1" w:styleId="318">
    <w:name w:val="正文 A A"/>
    <w:qFormat/>
    <w:uiPriority w:val="0"/>
    <w:pPr>
      <w:widowControl w:val="0"/>
      <w:jc w:val="both"/>
    </w:pPr>
    <w:rPr>
      <w:rFonts w:ascii="Times New Roman" w:hAnsi="Times New Roman" w:eastAsia="ヒラギノ角ゴ Pro W3" w:cs="Times New Roman"/>
      <w:color w:val="000000"/>
      <w:kern w:val="2"/>
      <w:sz w:val="21"/>
      <w:lang w:val="en-US" w:eastAsia="zh-CN" w:bidi="ar-SA"/>
    </w:rPr>
  </w:style>
  <w:style w:type="paragraph" w:customStyle="1" w:styleId="319">
    <w:name w:val="BEA正文首行缩进"/>
    <w:basedOn w:val="1"/>
    <w:qFormat/>
    <w:uiPriority w:val="0"/>
    <w:pPr>
      <w:tabs>
        <w:tab w:val="left" w:pos="6332"/>
      </w:tabs>
      <w:spacing w:line="360" w:lineRule="auto"/>
      <w:ind w:firstLine="512" w:firstLineChars="200"/>
      <w:jc w:val="left"/>
    </w:pPr>
    <w:rPr>
      <w:rFonts w:ascii="Arial" w:hAnsi="Arial"/>
      <w:bCs/>
      <w:spacing w:val="8"/>
      <w:sz w:val="24"/>
      <w:szCs w:val="36"/>
    </w:rPr>
  </w:style>
  <w:style w:type="paragraph" w:customStyle="1" w:styleId="320">
    <w:name w:val="样式 宋体 小四"/>
    <w:basedOn w:val="1"/>
    <w:qFormat/>
    <w:uiPriority w:val="0"/>
    <w:pPr>
      <w:spacing w:before="120" w:after="120" w:line="360" w:lineRule="auto"/>
    </w:pPr>
    <w:rPr>
      <w:rFonts w:ascii="宋体" w:hAnsi="宋体"/>
      <w:sz w:val="24"/>
      <w:szCs w:val="24"/>
    </w:rPr>
  </w:style>
  <w:style w:type="paragraph" w:customStyle="1" w:styleId="321">
    <w:name w:val="标准文本"/>
    <w:basedOn w:val="1"/>
    <w:link w:val="322"/>
    <w:qFormat/>
    <w:uiPriority w:val="0"/>
    <w:pPr>
      <w:spacing w:line="360" w:lineRule="auto"/>
      <w:ind w:firstLine="480" w:firstLineChars="200"/>
    </w:pPr>
    <w:rPr>
      <w:kern w:val="0"/>
      <w:sz w:val="24"/>
    </w:rPr>
  </w:style>
  <w:style w:type="character" w:customStyle="1" w:styleId="322">
    <w:name w:val="标准文本 Char"/>
    <w:link w:val="321"/>
    <w:uiPriority w:val="0"/>
    <w:rPr>
      <w:rFonts w:ascii="Times New Roman" w:hAnsi="Times New Roman" w:eastAsia="宋体" w:cs="Times New Roman"/>
      <w:kern w:val="0"/>
      <w:sz w:val="24"/>
      <w:szCs w:val="20"/>
    </w:rPr>
  </w:style>
  <w:style w:type="character" w:customStyle="1" w:styleId="323">
    <w:name w:val="Char Char9"/>
    <w:uiPriority w:val="0"/>
    <w:rPr>
      <w:rFonts w:ascii="Times New Roman" w:hAnsi="Times New Roman" w:eastAsia="宋体" w:cs="Times New Roman"/>
      <w:sz w:val="18"/>
      <w:szCs w:val="18"/>
    </w:rPr>
  </w:style>
  <w:style w:type="character" w:customStyle="1" w:styleId="324">
    <w:name w:val="书籍标题1"/>
    <w:qFormat/>
    <w:uiPriority w:val="0"/>
    <w:rPr>
      <w:b/>
      <w:bCs/>
      <w:smallCaps/>
      <w:spacing w:val="5"/>
    </w:rPr>
  </w:style>
  <w:style w:type="paragraph" w:customStyle="1" w:styleId="325">
    <w:name w:val="样式4韩海东"/>
    <w:basedOn w:val="1"/>
    <w:link w:val="326"/>
    <w:qFormat/>
    <w:uiPriority w:val="0"/>
    <w:pPr>
      <w:spacing w:line="420" w:lineRule="exact"/>
      <w:ind w:firstLine="420"/>
      <w:jc w:val="left"/>
    </w:pPr>
    <w:rPr>
      <w:rFonts w:ascii="宋体"/>
      <w:bCs/>
      <w:color w:val="000000"/>
      <w:kern w:val="0"/>
      <w:sz w:val="20"/>
      <w:szCs w:val="21"/>
    </w:rPr>
  </w:style>
  <w:style w:type="character" w:customStyle="1" w:styleId="326">
    <w:name w:val="样式4韩海东 Char"/>
    <w:link w:val="325"/>
    <w:uiPriority w:val="0"/>
    <w:rPr>
      <w:rFonts w:ascii="宋体" w:hAnsi="Times New Roman" w:eastAsia="宋体" w:cs="Times New Roman"/>
      <w:bCs/>
      <w:color w:val="000000"/>
      <w:kern w:val="0"/>
      <w:sz w:val="20"/>
      <w:szCs w:val="21"/>
    </w:rPr>
  </w:style>
  <w:style w:type="character" w:customStyle="1" w:styleId="327">
    <w:name w:val="Normal1"/>
    <w:uiPriority w:val="0"/>
    <w:rPr>
      <w:color w:val="A04421"/>
      <w:sz w:val="24"/>
    </w:rPr>
  </w:style>
  <w:style w:type="character" w:customStyle="1" w:styleId="328">
    <w:name w:val="Table Text Char Char Char Char Char Char"/>
    <w:uiPriority w:val="0"/>
    <w:rPr>
      <w:rFonts w:ascii="Arial" w:hAnsi="Arial" w:eastAsia="宋体" w:cs="Arial"/>
      <w:kern w:val="2"/>
      <w:sz w:val="18"/>
      <w:szCs w:val="18"/>
      <w:lang w:val="en-US" w:eastAsia="zh-CN" w:bidi="ar-SA"/>
    </w:rPr>
  </w:style>
  <w:style w:type="character" w:customStyle="1" w:styleId="329">
    <w:name w:val="ca-111"/>
    <w:basedOn w:val="48"/>
    <w:qFormat/>
    <w:uiPriority w:val="0"/>
    <w:rPr>
      <w:rFonts w:hint="eastAsia" w:ascii="宋体" w:hAnsi="宋体" w:eastAsia="宋体"/>
      <w:color w:val="000000"/>
      <w:sz w:val="24"/>
      <w:szCs w:val="24"/>
    </w:rPr>
  </w:style>
  <w:style w:type="character" w:customStyle="1" w:styleId="330">
    <w:name w:val="Font Style28"/>
    <w:basedOn w:val="48"/>
    <w:uiPriority w:val="0"/>
    <w:rPr>
      <w:rFonts w:ascii="Verdana" w:hAnsi="Verdana" w:cs="Verdana"/>
      <w:sz w:val="14"/>
      <w:szCs w:val="14"/>
    </w:rPr>
  </w:style>
  <w:style w:type="character" w:customStyle="1" w:styleId="331">
    <w:name w:val="Font Style58"/>
    <w:basedOn w:val="48"/>
    <w:uiPriority w:val="0"/>
    <w:rPr>
      <w:rFonts w:ascii="Verdana" w:hAnsi="Verdana" w:cs="Verdana"/>
      <w:sz w:val="14"/>
      <w:szCs w:val="14"/>
    </w:rPr>
  </w:style>
  <w:style w:type="paragraph" w:customStyle="1" w:styleId="332">
    <w:name w:val="pa-18"/>
    <w:basedOn w:val="1"/>
    <w:qFormat/>
    <w:uiPriority w:val="0"/>
    <w:pPr>
      <w:widowControl/>
      <w:spacing w:line="312" w:lineRule="atLeast"/>
      <w:ind w:firstLine="480"/>
    </w:pPr>
    <w:rPr>
      <w:rFonts w:ascii="宋体" w:hAnsi="宋体" w:cs="宋体"/>
      <w:kern w:val="0"/>
      <w:sz w:val="24"/>
      <w:szCs w:val="24"/>
    </w:rPr>
  </w:style>
  <w:style w:type="paragraph" w:customStyle="1" w:styleId="333">
    <w:name w:val="Pa1"/>
    <w:basedOn w:val="1"/>
    <w:next w:val="1"/>
    <w:qFormat/>
    <w:uiPriority w:val="0"/>
    <w:pPr>
      <w:autoSpaceDE w:val="0"/>
      <w:autoSpaceDN w:val="0"/>
      <w:adjustRightInd w:val="0"/>
      <w:spacing w:line="161" w:lineRule="atLeast"/>
      <w:jc w:val="left"/>
    </w:pPr>
    <w:rPr>
      <w:rFonts w:ascii="方正大黑简体" w:eastAsia="方正大黑简体" w:cs="方正大黑简体"/>
      <w:kern w:val="0"/>
      <w:sz w:val="24"/>
      <w:szCs w:val="24"/>
    </w:rPr>
  </w:style>
  <w:style w:type="paragraph" w:customStyle="1" w:styleId="334">
    <w:name w:val="Style7"/>
    <w:basedOn w:val="1"/>
    <w:qFormat/>
    <w:uiPriority w:val="0"/>
    <w:pPr>
      <w:adjustRightInd w:val="0"/>
      <w:jc w:val="left"/>
    </w:pPr>
    <w:rPr>
      <w:rFonts w:ascii="Verdana" w:hAnsi="Verdana"/>
      <w:snapToGrid w:val="0"/>
      <w:kern w:val="0"/>
      <w:sz w:val="24"/>
      <w:szCs w:val="24"/>
    </w:rPr>
  </w:style>
  <w:style w:type="paragraph" w:customStyle="1" w:styleId="335">
    <w:name w:val="Style24"/>
    <w:basedOn w:val="1"/>
    <w:qFormat/>
    <w:uiPriority w:val="0"/>
    <w:pPr>
      <w:adjustRightInd w:val="0"/>
      <w:jc w:val="left"/>
    </w:pPr>
    <w:rPr>
      <w:rFonts w:ascii="Verdana" w:hAnsi="Verdana"/>
      <w:snapToGrid w:val="0"/>
      <w:kern w:val="0"/>
      <w:sz w:val="24"/>
      <w:szCs w:val="24"/>
    </w:rPr>
  </w:style>
  <w:style w:type="paragraph" w:customStyle="1" w:styleId="336">
    <w:name w:val="（符号）三标题1.1"/>
    <w:basedOn w:val="1"/>
    <w:link w:val="337"/>
    <w:qFormat/>
    <w:uiPriority w:val="0"/>
    <w:pPr>
      <w:tabs>
        <w:tab w:val="left" w:pos="700"/>
      </w:tabs>
      <w:spacing w:line="500" w:lineRule="exact"/>
    </w:pPr>
    <w:rPr>
      <w:rFonts w:ascii="宋体" w:hAnsi="宋体"/>
      <w:sz w:val="24"/>
      <w:szCs w:val="24"/>
    </w:rPr>
  </w:style>
  <w:style w:type="character" w:customStyle="1" w:styleId="337">
    <w:name w:val="（符号）三标题1.1 Char"/>
    <w:basedOn w:val="48"/>
    <w:link w:val="336"/>
    <w:qFormat/>
    <w:uiPriority w:val="0"/>
    <w:rPr>
      <w:rFonts w:ascii="宋体" w:hAnsi="宋体" w:eastAsia="宋体" w:cs="Times New Roman"/>
      <w:sz w:val="24"/>
      <w:szCs w:val="24"/>
    </w:rPr>
  </w:style>
  <w:style w:type="paragraph" w:customStyle="1" w:styleId="338">
    <w:name w:val="Pa0"/>
    <w:basedOn w:val="1"/>
    <w:next w:val="1"/>
    <w:qFormat/>
    <w:uiPriority w:val="0"/>
    <w:pPr>
      <w:autoSpaceDE w:val="0"/>
      <w:autoSpaceDN w:val="0"/>
      <w:adjustRightInd w:val="0"/>
      <w:spacing w:line="161" w:lineRule="atLeast"/>
      <w:jc w:val="left"/>
    </w:pPr>
    <w:rPr>
      <w:rFonts w:ascii="方正大黑简体" w:eastAsia="方正大黑简体" w:cs="方正大黑简体"/>
      <w:kern w:val="0"/>
      <w:sz w:val="24"/>
      <w:szCs w:val="24"/>
    </w:rPr>
  </w:style>
  <w:style w:type="paragraph" w:customStyle="1" w:styleId="339">
    <w:name w:val="样式 正文（首行缩进两字） + 宋体 小四"/>
    <w:basedOn w:val="4"/>
    <w:qFormat/>
    <w:uiPriority w:val="0"/>
    <w:pPr>
      <w:tabs>
        <w:tab w:val="left" w:pos="3960"/>
      </w:tabs>
      <w:adjustRightInd w:val="0"/>
      <w:snapToGrid w:val="0"/>
      <w:spacing w:line="500" w:lineRule="exact"/>
      <w:ind w:firstLine="538" w:firstLineChars="192"/>
      <w:jc w:val="left"/>
    </w:pPr>
    <w:rPr>
      <w:rFonts w:ascii="宋体" w:hAnsi="宋体" w:cs="宋体"/>
      <w:color w:val="000000"/>
      <w:kern w:val="0"/>
      <w:sz w:val="28"/>
      <w:szCs w:val="28"/>
    </w:rPr>
  </w:style>
  <w:style w:type="character" w:customStyle="1" w:styleId="340">
    <w:name w:val="info4"/>
    <w:qFormat/>
    <w:uiPriority w:val="0"/>
  </w:style>
  <w:style w:type="character" w:customStyle="1" w:styleId="341">
    <w:name w:val="（符号）邀请函中一、"/>
    <w:qFormat/>
    <w:uiPriority w:val="0"/>
    <w:rPr>
      <w:rFonts w:ascii="黑体" w:hAnsi="黑体" w:eastAsia="黑体"/>
      <w:b/>
      <w:bCs/>
      <w:sz w:val="24"/>
    </w:rPr>
  </w:style>
  <w:style w:type="paragraph" w:customStyle="1" w:styleId="342">
    <w:name w:val="Fließtext"/>
    <w:basedOn w:val="1"/>
    <w:qFormat/>
    <w:uiPriority w:val="0"/>
    <w:pPr>
      <w:widowControl/>
      <w:spacing w:before="40" w:after="40"/>
      <w:jc w:val="left"/>
    </w:pPr>
    <w:rPr>
      <w:rFonts w:ascii="Arial" w:hAnsi="Arial"/>
      <w:kern w:val="0"/>
      <w:sz w:val="20"/>
      <w:lang w:eastAsia="de-DE"/>
    </w:rPr>
  </w:style>
  <w:style w:type="paragraph" w:customStyle="1" w:styleId="343">
    <w:name w:val="CM2"/>
    <w:basedOn w:val="1"/>
    <w:next w:val="1"/>
    <w:qFormat/>
    <w:uiPriority w:val="0"/>
    <w:pPr>
      <w:autoSpaceDE w:val="0"/>
      <w:autoSpaceDN w:val="0"/>
      <w:jc w:val="left"/>
    </w:pPr>
    <w:rPr>
      <w:rFonts w:ascii="Calibri" w:hAnsi="Calibri"/>
      <w:sz w:val="24"/>
    </w:rPr>
  </w:style>
  <w:style w:type="paragraph" w:customStyle="1" w:styleId="344">
    <w:name w:val="我的正文"/>
    <w:basedOn w:val="1"/>
    <w:link w:val="345"/>
    <w:qFormat/>
    <w:uiPriority w:val="0"/>
    <w:pPr>
      <w:spacing w:afterLines="100" w:line="360" w:lineRule="auto"/>
      <w:ind w:firstLine="480" w:firstLineChars="200"/>
    </w:pPr>
    <w:rPr>
      <w:rFonts w:eastAsia="仿宋_GB2312" w:cs="宋体"/>
      <w:sz w:val="24"/>
    </w:rPr>
  </w:style>
  <w:style w:type="character" w:customStyle="1" w:styleId="345">
    <w:name w:val="我的正文 Char"/>
    <w:link w:val="344"/>
    <w:uiPriority w:val="0"/>
    <w:rPr>
      <w:rFonts w:ascii="Times New Roman" w:hAnsi="Times New Roman" w:eastAsia="仿宋_GB2312" w:cs="宋体"/>
      <w:sz w:val="24"/>
      <w:szCs w:val="20"/>
    </w:rPr>
  </w:style>
  <w:style w:type="paragraph" w:customStyle="1" w:styleId="346">
    <w:name w:val="左对齐的表内文字"/>
    <w:basedOn w:val="344"/>
    <w:qFormat/>
    <w:uiPriority w:val="0"/>
    <w:pPr>
      <w:spacing w:afterLines="0" w:line="240" w:lineRule="auto"/>
      <w:ind w:firstLine="0" w:firstLineChars="0"/>
    </w:pPr>
    <w:rPr>
      <w:sz w:val="21"/>
    </w:rPr>
  </w:style>
  <w:style w:type="paragraph" w:customStyle="1" w:styleId="347">
    <w:name w:val="正文（绿盟科技）"/>
    <w:link w:val="348"/>
    <w:qFormat/>
    <w:uiPriority w:val="0"/>
    <w:pPr>
      <w:spacing w:line="300" w:lineRule="auto"/>
    </w:pPr>
    <w:rPr>
      <w:rFonts w:ascii="Arial" w:hAnsi="Arial" w:eastAsia="宋体" w:cs="Times New Roman"/>
      <w:sz w:val="21"/>
      <w:szCs w:val="21"/>
      <w:lang w:val="en-US" w:eastAsia="zh-CN" w:bidi="ar-SA"/>
    </w:rPr>
  </w:style>
  <w:style w:type="character" w:customStyle="1" w:styleId="348">
    <w:name w:val="正文（绿盟科技） Char"/>
    <w:link w:val="347"/>
    <w:qFormat/>
    <w:locked/>
    <w:uiPriority w:val="0"/>
    <w:rPr>
      <w:rFonts w:ascii="Arial" w:hAnsi="Arial" w:eastAsia="宋体" w:cs="Times New Roman"/>
      <w:kern w:val="0"/>
      <w:szCs w:val="21"/>
    </w:rPr>
  </w:style>
  <w:style w:type="paragraph" w:customStyle="1" w:styleId="349">
    <w:name w:val="表格文本"/>
    <w:basedOn w:val="1"/>
    <w:qFormat/>
    <w:uiPriority w:val="0"/>
    <w:pPr>
      <w:tabs>
        <w:tab w:val="decimal" w:pos="0"/>
      </w:tabs>
      <w:autoSpaceDE w:val="0"/>
      <w:autoSpaceDN w:val="0"/>
      <w:adjustRightInd w:val="0"/>
      <w:jc w:val="left"/>
    </w:pPr>
    <w:rPr>
      <w:rFonts w:ascii="Arial" w:hAnsi="Arial" w:eastAsia="楷体_GB2312"/>
      <w:kern w:val="0"/>
      <w:sz w:val="24"/>
      <w:szCs w:val="21"/>
    </w:rPr>
  </w:style>
  <w:style w:type="paragraph" w:customStyle="1" w:styleId="350">
    <w:name w:val="百姓X"/>
    <w:basedOn w:val="1"/>
    <w:qFormat/>
    <w:uiPriority w:val="0"/>
    <w:pPr>
      <w:spacing w:before="120" w:after="120" w:line="360" w:lineRule="auto"/>
      <w:ind w:firstLine="539"/>
    </w:pPr>
    <w:rPr>
      <w:sz w:val="24"/>
    </w:rPr>
  </w:style>
  <w:style w:type="paragraph" w:customStyle="1" w:styleId="351">
    <w:name w:val="Ｃ"/>
    <w:basedOn w:val="352"/>
    <w:qFormat/>
    <w:uiPriority w:val="0"/>
    <w:pPr>
      <w:keepNext/>
      <w:ind w:left="0"/>
      <w:jc w:val="center"/>
    </w:pPr>
    <w:rPr>
      <w:sz w:val="16"/>
    </w:rPr>
  </w:style>
  <w:style w:type="paragraph" w:customStyle="1" w:styleId="352">
    <w:name w:val="body3"/>
    <w:basedOn w:val="1"/>
    <w:next w:val="6"/>
    <w:qFormat/>
    <w:uiPriority w:val="0"/>
    <w:pPr>
      <w:widowControl/>
      <w:overflowPunct w:val="0"/>
      <w:autoSpaceDE w:val="0"/>
      <w:autoSpaceDN w:val="0"/>
      <w:adjustRightInd w:val="0"/>
      <w:spacing w:line="0" w:lineRule="atLeast"/>
      <w:ind w:left="2610" w:right="210"/>
      <w:jc w:val="left"/>
      <w:textAlignment w:val="baseline"/>
    </w:pPr>
    <w:rPr>
      <w:rFonts w:ascii="宋体"/>
      <w:kern w:val="0"/>
      <w:sz w:val="28"/>
    </w:rPr>
  </w:style>
  <w:style w:type="character" w:customStyle="1" w:styleId="353">
    <w:name w:val="正文首行缩进两字符 Char Char Char"/>
    <w:uiPriority w:val="0"/>
    <w:rPr>
      <w:rFonts w:eastAsia="宋体"/>
      <w:kern w:val="2"/>
      <w:sz w:val="21"/>
      <w:szCs w:val="24"/>
      <w:lang w:val="en-US" w:eastAsia="zh-CN" w:bidi="ar-SA"/>
    </w:rPr>
  </w:style>
  <w:style w:type="character" w:customStyle="1" w:styleId="354">
    <w:name w:val="A10"/>
    <w:uiPriority w:val="0"/>
    <w:rPr>
      <w:rFonts w:ascii="Univers LT Std 45 Light" w:eastAsia="Univers LT Std 45 Light" w:cs="Univers LT Std 45 Light"/>
      <w:color w:val="221E1F"/>
      <w:sz w:val="8"/>
      <w:szCs w:val="8"/>
    </w:rPr>
  </w:style>
  <w:style w:type="character" w:customStyle="1" w:styleId="355">
    <w:name w:val="A1"/>
    <w:uiPriority w:val="0"/>
    <w:rPr>
      <w:rFonts w:ascii="Univers LT Std 45 Light" w:eastAsia="Univers LT Std 45 Light" w:cs="Univers LT Std 45 Light"/>
      <w:color w:val="221E1F"/>
      <w:sz w:val="10"/>
      <w:szCs w:val="10"/>
    </w:rPr>
  </w:style>
  <w:style w:type="paragraph" w:customStyle="1" w:styleId="356">
    <w:name w:val="Char2 Char Char"/>
    <w:basedOn w:val="16"/>
    <w:uiPriority w:val="0"/>
    <w:rPr>
      <w:rFonts w:ascii="Tahoma" w:hAnsi="Tahoma"/>
      <w:sz w:val="24"/>
      <w:szCs w:val="24"/>
    </w:rPr>
  </w:style>
  <w:style w:type="paragraph" w:customStyle="1" w:styleId="357">
    <w:name w:val="(符号)五标题1.1.1"/>
    <w:basedOn w:val="1"/>
    <w:qFormat/>
    <w:uiPriority w:val="0"/>
    <w:pPr>
      <w:tabs>
        <w:tab w:val="left" w:pos="1000"/>
      </w:tabs>
      <w:spacing w:line="500" w:lineRule="exact"/>
      <w:ind w:left="1000" w:hanging="1000"/>
    </w:pPr>
    <w:rPr>
      <w:rFonts w:ascii="宋体" w:hAnsi="宋体" w:cs="宋体"/>
      <w:color w:val="000000"/>
      <w:sz w:val="24"/>
    </w:rPr>
  </w:style>
  <w:style w:type="character" w:customStyle="1" w:styleId="358">
    <w:name w:val="H1 Char1"/>
    <w:qFormat/>
    <w:uiPriority w:val="0"/>
    <w:rPr>
      <w:rFonts w:eastAsia="宋体"/>
      <w:b/>
      <w:kern w:val="44"/>
      <w:sz w:val="32"/>
      <w:lang w:val="en-US" w:eastAsia="zh-CN" w:bidi="ar-SA"/>
    </w:rPr>
  </w:style>
  <w:style w:type="character" w:customStyle="1" w:styleId="359">
    <w:name w:val="Heading 2 Hidden Char1"/>
    <w:uiPriority w:val="0"/>
    <w:rPr>
      <w:rFonts w:ascii="Arial" w:hAnsi="Arial" w:eastAsia="黑体"/>
      <w:b/>
      <w:kern w:val="2"/>
      <w:sz w:val="28"/>
      <w:lang w:val="en-US" w:eastAsia="zh-CN" w:bidi="ar-SA"/>
    </w:rPr>
  </w:style>
  <w:style w:type="character" w:customStyle="1" w:styleId="360">
    <w:name w:val="param-name"/>
    <w:basedOn w:val="48"/>
    <w:uiPriority w:val="0"/>
  </w:style>
  <w:style w:type="character" w:customStyle="1" w:styleId="361">
    <w:name w:val="param-name param-explain"/>
    <w:basedOn w:val="48"/>
    <w:qFormat/>
    <w:uiPriority w:val="0"/>
  </w:style>
  <w:style w:type="character" w:customStyle="1" w:styleId="362">
    <w:name w:val="apple-converted-space"/>
    <w:basedOn w:val="48"/>
    <w:qFormat/>
    <w:uiPriority w:val="0"/>
  </w:style>
  <w:style w:type="character" w:customStyle="1" w:styleId="363">
    <w:name w:val="普通(网站) Char1"/>
    <w:qFormat/>
    <w:locked/>
    <w:uiPriority w:val="0"/>
    <w:rPr>
      <w:rFonts w:ascii="Calibri" w:hAnsi="Calibri" w:cs="Calibri"/>
    </w:rPr>
  </w:style>
  <w:style w:type="character" w:customStyle="1" w:styleId="364">
    <w:name w:val="标题 Char1"/>
    <w:basedOn w:val="48"/>
    <w:qFormat/>
    <w:uiPriority w:val="0"/>
    <w:rPr>
      <w:rFonts w:ascii="Cambria" w:hAnsi="Cambria" w:cs="Times New Roman"/>
      <w:b/>
      <w:bCs/>
      <w:kern w:val="2"/>
      <w:sz w:val="32"/>
      <w:szCs w:val="32"/>
    </w:rPr>
  </w:style>
  <w:style w:type="paragraph" w:customStyle="1" w:styleId="365">
    <w:name w:val="Char2 Char Char1"/>
    <w:basedOn w:val="16"/>
    <w:next w:val="1"/>
    <w:qFormat/>
    <w:uiPriority w:val="0"/>
    <w:rPr>
      <w:rFonts w:ascii="Tahoma" w:hAnsi="Tahoma"/>
      <w:sz w:val="24"/>
      <w:szCs w:val="24"/>
    </w:rPr>
  </w:style>
  <w:style w:type="character" w:customStyle="1" w:styleId="366">
    <w:name w:val="Char Char Char1"/>
    <w:uiPriority w:val="0"/>
    <w:rPr>
      <w:rFonts w:hint="eastAsia" w:ascii="宋体" w:hAnsi="宋体" w:eastAsia="宋体"/>
      <w:b/>
      <w:kern w:val="2"/>
      <w:sz w:val="32"/>
      <w:lang w:val="en-US" w:eastAsia="zh-CN" w:bidi="ar-SA"/>
    </w:rPr>
  </w:style>
  <w:style w:type="character" w:customStyle="1" w:styleId="367">
    <w:name w:val="Char Char161"/>
    <w:qFormat/>
    <w:uiPriority w:val="0"/>
    <w:rPr>
      <w:rFonts w:hint="eastAsia" w:ascii="黑体" w:hAnsi="黑体" w:eastAsia="黑体"/>
      <w:kern w:val="2"/>
      <w:sz w:val="36"/>
      <w:lang w:val="en-US" w:eastAsia="zh-CN" w:bidi="ar-SA"/>
    </w:rPr>
  </w:style>
  <w:style w:type="character" w:customStyle="1" w:styleId="368">
    <w:name w:val="Char Char71"/>
    <w:qFormat/>
    <w:uiPriority w:val="0"/>
    <w:rPr>
      <w:rFonts w:hint="default" w:ascii="Cambria" w:hAnsi="Cambria" w:eastAsia="宋体"/>
      <w:b/>
      <w:bCs/>
      <w:kern w:val="2"/>
      <w:sz w:val="32"/>
      <w:szCs w:val="32"/>
      <w:lang w:val="en-US" w:eastAsia="zh-CN" w:bidi="ar-SA"/>
    </w:rPr>
  </w:style>
  <w:style w:type="character" w:customStyle="1" w:styleId="369">
    <w:name w:val="Char Char41"/>
    <w:qFormat/>
    <w:uiPriority w:val="0"/>
    <w:rPr>
      <w:rFonts w:hint="default" w:ascii="Cambria" w:hAnsi="Cambria" w:eastAsia="宋体"/>
      <w:b/>
      <w:bCs/>
      <w:kern w:val="28"/>
      <w:sz w:val="32"/>
      <w:szCs w:val="32"/>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EDD9813-ED4F-4951-826B-F2EDA7772853}">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39</Pages>
  <Words>5051</Words>
  <Characters>28793</Characters>
  <Lines>239</Lines>
  <Paragraphs>67</Paragraphs>
  <TotalTime>0</TotalTime>
  <ScaleCrop>false</ScaleCrop>
  <LinksUpToDate>false</LinksUpToDate>
  <CharactersWithSpaces>33777</CharactersWithSpaces>
  <Application>WPS Office_10.1.0.6260_F1E327BC-269C-435d-A152-05C5408002CA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2016-05-10T00:20:00Z</dcterms:created>
  <dc:creator>userone</dc:creator>
  <cp:lastModifiedBy>Administrator</cp:lastModifiedBy>
  <cp:lastPrinted>2017-02-17T01:39:00Z</cp:lastPrinted>
  <dcterms:modified xsi:type="dcterms:W3CDTF">2017-04-05T00:25:42Z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2052-10.1.0.6260</vt:lpwstr>
  </property>
</Properties>
</file>